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21 — Beauftragung Sachverständige</w:t>
      </w:r>
    </w:p>
    <w:p>
      <w:pPr>
        <w:jc w:val="left"/>
      </w:pPr>
      <w:r>
        <w:rPr>
          <w:b/>
        </w:rPr>
        <w:t>Verfahren:</w:t>
      </w:r>
      <w:r>
        <w:t xml:space="preserve"> LG Aachen 5 O 102/26 (BU-Klage)</w:t>
      </w:r>
    </w:p>
    <w:p>
      <w:pPr>
        <w:jc w:val="left"/>
      </w:pPr>
      <w:r>
        <w:rPr>
          <w:b/>
        </w:rPr>
        <w:t>Stand:</w:t>
      </w:r>
      <w:r>
        <w:t xml:space="preserve"> April 2026</w:t>
      </w:r>
    </w:p>
    <w:p/>
    <w:p>
      <w:pPr>
        <w:pStyle w:val="Heading2"/>
      </w:pPr>
      <w:r>
        <w:rPr>
          <w:rFonts w:ascii="Times New Roman" w:hAnsi="Times New Roman"/>
        </w:rPr>
        <w:t>I. Privatgutachten Dermatologie — Prof. Dr. Franz Kiesewetter</w:t>
      </w:r>
    </w:p>
    <w:p>
      <w:pPr>
        <w:jc w:val="left"/>
      </w:pPr>
      <w:r>
        <w:rPr>
          <w:b/>
        </w:rPr>
        <w:t>Beauftragter:</w:t>
      </w:r>
      <w:r>
        <w:t xml:space="preserve"> Prof. Dr. med. Franz Kiesewetter, Universitätsklinikum Freiburg, Hautklinik, Abteilung Berufsdermatologie</w:t>
      </w:r>
    </w:p>
    <w:p>
      <w:pPr>
        <w:jc w:val="left"/>
      </w:pPr>
      <w:r>
        <w:rPr>
          <w:b/>
        </w:rPr>
        <w:t>Beauftragungsdatum:</w:t>
      </w:r>
      <w:r>
        <w:t xml:space="preserve"> 10.03.2026</w:t>
      </w:r>
    </w:p>
    <w:p>
      <w:pPr>
        <w:jc w:val="left"/>
      </w:pPr>
      <w:r>
        <w:rPr>
          <w:b/>
        </w:rPr>
        <w:t>Fragestellungen:</w:t>
      </w:r>
    </w:p>
    <w:p>
      <w:pPr>
        <w:pStyle w:val="ListNumber"/>
      </w:pPr>
      <w:r>
        <w:t>Ist bei Frau Marion Vogelweide eine IgE-vermittelte Latexsensibilisierung (Klasse 3 nach RAST, Hevein-positiv) nachgewiesen?</w:t>
      </w:r>
    </w:p>
    <w:p>
      <w:pPr>
        <w:pStyle w:val="ListNumber"/>
      </w:pPr>
      <w:r>
        <w:t>Ist diese Sensibilisierung dauerhaft und irreversibel nach aktuellem medizinischem Erkenntnisstand?</w:t>
      </w:r>
    </w:p>
    <w:p>
      <w:pPr>
        <w:pStyle w:val="ListNumber"/>
      </w:pPr>
      <w:r>
        <w:t>Macht diese Sensibilisierung den Einsatz als Altenpflegerin in einer stationären Pflegeeinrichtung dauerhaft unmöglich, auch bei Verwendung latexfreier Alternativprodukte?</w:t>
      </w:r>
    </w:p>
    <w:p>
      <w:pPr>
        <w:pStyle w:val="ListNumber"/>
      </w:pPr>
      <w:r>
        <w:t>Besteht durch die Glutaraldehyd-Sensibilisierung (Epikutantest ++) eine zusätzliche Expositionseinschränkung, die den Pflegeeinsatz weiter limitiert?</w:t>
      </w:r>
    </w:p>
    <w:p>
      <w:pPr>
        <w:pStyle w:val="ListNumber"/>
      </w:pPr>
      <w:r>
        <w:t>Ist die BK-5101-Voraussetzung (schwere oder wiederholt rückfällige Hauterkrankung, die Aufgabe des Berufs zwingend) erfüllt?</w:t>
      </w:r>
    </w:p>
    <w:p>
      <w:pPr>
        <w:jc w:val="left"/>
      </w:pPr>
      <w:r>
        <w:rPr>
          <w:b/>
        </w:rPr>
        <w:t>Geschätzte Lieferzeit:</w:t>
      </w:r>
      <w:r>
        <w:t xml:space="preserve"> Juli 2026</w:t>
      </w:r>
    </w:p>
    <w:p>
      <w:pPr>
        <w:jc w:val="left"/>
      </w:pPr>
      <w:r>
        <w:rPr>
          <w:b/>
        </w:rPr>
        <w:t>Kostenvorschuss:</w:t>
      </w:r>
      <w:r>
        <w:t xml:space="preserve"> 3.800 EUR (von ARAG gedeckt)</w:t>
      </w:r>
    </w:p>
    <w:p/>
    <w:p>
      <w:pPr>
        <w:pStyle w:val="Heading2"/>
      </w:pPr>
      <w:r>
        <w:rPr>
          <w:rFonts w:ascii="Times New Roman" w:hAnsi="Times New Roman"/>
        </w:rPr>
        <w:t>II. Privatgutachten Neurochirurgie/Orthopädie — Dr. Hans-Jürgen Reck</w:t>
      </w:r>
    </w:p>
    <w:p>
      <w:pPr>
        <w:jc w:val="left"/>
      </w:pPr>
      <w:r>
        <w:rPr>
          <w:b/>
        </w:rPr>
        <w:t>Beauftragter:</w:t>
      </w:r>
      <w:r>
        <w:t xml:space="preserve"> Dr. med. Hans-Jürgen Reck, Facharzt für Neurochirurgie und Gutachtenwesen, Köln</w:t>
      </w:r>
    </w:p>
    <w:p>
      <w:pPr>
        <w:jc w:val="left"/>
      </w:pPr>
      <w:r>
        <w:rPr>
          <w:b/>
        </w:rPr>
        <w:t>Beauftragungsdatum:</w:t>
      </w:r>
      <w:r>
        <w:t xml:space="preserve"> 15.03.2026</w:t>
      </w:r>
    </w:p>
    <w:p>
      <w:pPr>
        <w:jc w:val="left"/>
      </w:pPr>
      <w:r>
        <w:rPr>
          <w:b/>
        </w:rPr>
        <w:t>Fragestellungen:</w:t>
      </w:r>
    </w:p>
    <w:p>
      <w:pPr>
        <w:pStyle w:val="ListNumber"/>
      </w:pPr>
      <w:r>
        <w:t>Wie ist der aktuelle Heilungsverlauf nach ACDF C5/C6 (November 2024) zu bewerten?</w:t>
      </w:r>
    </w:p>
    <w:p>
      <w:pPr>
        <w:pStyle w:val="ListNumber"/>
      </w:pPr>
      <w:r>
        <w:t>Ist mit einer vollständigen Remission der Kraftminderung und Parästhesien innerhalb der nächsten 24 Monate zu rechnen?</w:t>
      </w:r>
    </w:p>
    <w:p>
      <w:pPr>
        <w:pStyle w:val="ListNumber"/>
      </w:pPr>
      <w:r>
        <w:t>In welchem Umfang ist Frau Vogelweide durch das LWS-Syndrom in der Hebe- und Tragekapazität dauerhaft eingeschränkt?</w:t>
      </w:r>
    </w:p>
    <w:p>
      <w:pPr>
        <w:pStyle w:val="ListNumber"/>
      </w:pPr>
      <w:r>
        <w:t>Welche Tätigkeiten sind ihr orthopädisch dauerhaft unzumutbar?</w:t>
      </w:r>
    </w:p>
    <w:p>
      <w:pPr>
        <w:jc w:val="left"/>
      </w:pPr>
      <w:r>
        <w:rPr>
          <w:b/>
        </w:rPr>
        <w:t>Geschätzte Lieferzeit:</w:t>
      </w:r>
      <w:r>
        <w:t xml:space="preserve"> Juni 2026</w:t>
      </w:r>
    </w:p>
    <w:p>
      <w:pPr>
        <w:jc w:val="left"/>
      </w:pPr>
      <w:r>
        <w:rPr>
          <w:b/>
        </w:rPr>
        <w:t>Kostenvorschuss:</w:t>
      </w:r>
      <w:r>
        <w:t xml:space="preserve"> 2.800 EUR (von ARAG gedeckt)</w:t>
      </w:r>
    </w:p>
    <w:p/>
    <w:p>
      <w:pPr>
        <w:pStyle w:val="Heading2"/>
      </w:pPr>
      <w:r>
        <w:rPr>
          <w:rFonts w:ascii="Times New Roman" w:hAnsi="Times New Roman"/>
        </w:rPr>
        <w:t>III. Gerichtliches Sachverständigengutachten (antizipiert)</w:t>
      </w:r>
    </w:p>
    <w:p>
      <w:pPr>
        <w:jc w:val="left"/>
      </w:pPr>
      <w:r>
        <w:t>Das Gericht wird voraussichtlich ein oder mehrere gerichtliche Sachverständigengutachten in Auftrag geben. Die klägerseits eingeholten Privatgutachten dienen als Vorbereitung und Grundlage für die Auseinandersetzung mit dem gerichtlichen Gutachter. Erfahrungsgemäß werden Gerichte in NRW für BU-Verfahren Sachverständige aus dem Bereich Neurologie/Psychiatrie und Orthopädie bestimmen. Dr. Müller-Hauck wird entsprechende Kandidaten vorschlagen.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