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22 — Aktenstand-Bericht und Strategiepapier</w:t>
      </w:r>
    </w:p>
    <w:p>
      <w:pPr>
        <w:jc w:val="left"/>
      </w:pPr>
      <w:r>
        <w:rPr>
          <w:b/>
        </w:rPr>
        <w:t>Kanzlei:</w:t>
      </w:r>
      <w:r>
        <w:t xml:space="preserve"> Müller-Hauck Versicherungsrecht Aachen-Burtscheid</w:t>
      </w:r>
    </w:p>
    <w:p>
      <w:pPr>
        <w:jc w:val="left"/>
      </w:pPr>
      <w:r>
        <w:rPr>
          <w:b/>
        </w:rPr>
        <w:t>Rechtsanwältin:</w:t>
      </w:r>
      <w:r>
        <w:t xml:space="preserve"> Dr. Annegret Müller-Hauck, Fachanwältin für Versicherungsrecht</w:t>
      </w:r>
    </w:p>
    <w:p>
      <w:pPr>
        <w:jc w:val="left"/>
      </w:pPr>
      <w:r>
        <w:rPr>
          <w:b/>
        </w:rPr>
        <w:t>Datum:</w:t>
      </w:r>
      <w:r>
        <w:t xml:space="preserve"> 30.05.2026</w:t>
      </w:r>
    </w:p>
    <w:p>
      <w:pPr>
        <w:jc w:val="left"/>
      </w:pPr>
      <w:r>
        <w:rPr>
          <w:b/>
        </w:rPr>
        <w:t>Mandantin:</w:t>
      </w:r>
      <w:r>
        <w:t xml:space="preserve"> Marion Vogelweide</w:t>
      </w:r>
    </w:p>
    <w:p>
      <w:pPr>
        <w:jc w:val="left"/>
      </w:pPr>
      <w:r>
        <w:rPr>
          <w:b/>
        </w:rPr>
        <w:t>Betreff:</w:t>
      </w:r>
      <w:r>
        <w:t xml:space="preserve"> Zusammenfassende Strategiebewertung aller Verfahren</w:t>
      </w:r>
    </w:p>
    <w:p/>
    <w:p>
      <w:pPr>
        <w:pStyle w:val="Heading2"/>
      </w:pPr>
      <w:r>
        <w:rPr>
          <w:rFonts w:ascii="Times New Roman" w:hAnsi="Times New Roman"/>
        </w:rPr>
        <w:t>I. Gesamtbewertung der Ausgangslage</w:t>
      </w:r>
    </w:p>
    <w:p>
      <w:pPr>
        <w:jc w:val="left"/>
      </w:pPr>
      <w:r>
        <w:t xml:space="preserve">Die Akte Vogelweide ist komplex und umfasst vier rechtlich eigenständige, aber sachlich eng verknüpfte Konflikte. Die rechtliche Ausgangslage ist für die Mandantin </w:t>
      </w:r>
      <w:r>
        <w:rPr>
          <w:b/>
        </w:rPr>
        <w:t>überwiegend günstig</w:t>
      </w:r>
      <w:r>
        <w:t>, wenn auch jeder Verfahrensstrang eigene Risiken aufweist.</w:t>
      </w:r>
    </w:p>
    <w:p/>
    <w:p>
      <w:pPr>
        <w:pStyle w:val="Heading2"/>
      </w:pPr>
      <w:r>
        <w:rPr>
          <w:rFonts w:ascii="Times New Roman" w:hAnsi="Times New Roman"/>
        </w:rPr>
        <w:t>II. BU-Klage (LG Aachen 5 O 102/26) — Prognose: gut</w:t>
      </w:r>
    </w:p>
    <w:p>
      <w:pPr>
        <w:jc w:val="left"/>
      </w:pPr>
      <w:r>
        <w:t>Die Ablehnungsbegründung der DBV-Winterthur ist an drei Stellen angreifbar:</w:t>
      </w:r>
    </w:p>
    <w:p>
      <w:pPr>
        <w:pStyle w:val="ListNumber"/>
      </w:pPr>
      <w:r>
        <w:t>Die Verneinung der 50-%-BU-Schwelle ist medizinisch und rechtlich nicht haltbar, solange drei Fachärzte das Gegenteil bescheinigen.</w:t>
      </w:r>
    </w:p>
    <w:p>
      <w:pPr>
        <w:pStyle w:val="ListNumber"/>
      </w:pPr>
      <w:r>
        <w:t>Die Verweisungsklausel ist unzureichend konkretisiert und verstößt gegen BGH-Grundsätze (IV ZR 244/03).</w:t>
      </w:r>
    </w:p>
    <w:p>
      <w:pPr>
        <w:pStyle w:val="ListNumber"/>
      </w:pPr>
      <w:r>
        <w:t>Die Verneinung der Dauerhaftigkeit ist medizinisch widerlegbar (insbesondere durch die irreversible Latexsensibilisierung).</w:t>
      </w:r>
    </w:p>
    <w:p>
      <w:pPr>
        <w:jc w:val="left"/>
      </w:pPr>
      <w:r>
        <w:rPr>
          <w:b/>
        </w:rPr>
        <w:t>Einschätzung Erfolgswahrscheinlichkeit:</w:t>
      </w:r>
      <w:r>
        <w:t xml:space="preserve"> 75–80 %.</w:t>
      </w:r>
    </w:p>
    <w:p>
      <w:pPr>
        <w:jc w:val="left"/>
      </w:pPr>
      <w:r>
        <w:rPr>
          <w:b/>
        </w:rPr>
        <w:t>Hauptrisiko:</w:t>
      </w:r>
      <w:r>
        <w:t xml:space="preserve"> Der Versicherer könnte ein gerichtliches Sachverständigengutachten erwirken, das zu einer anderen Einschätzung der psychiatrischen Komorbidität führt. Dem wird durch das Privatgutachten von Prof. Kiesewetter vorgebeugt.</w:t>
      </w:r>
    </w:p>
    <w:p/>
    <w:p>
      <w:pPr>
        <w:pStyle w:val="Heading2"/>
      </w:pPr>
      <w:r>
        <w:rPr>
          <w:rFonts w:ascii="Times New Roman" w:hAnsi="Times New Roman"/>
        </w:rPr>
        <w:t>III. D&amp;O-Deckungsklage (LG Köln 26 O 144/26) — Prognose: mittel-gut</w:t>
      </w:r>
    </w:p>
    <w:p>
      <w:pPr>
        <w:jc w:val="left"/>
      </w:pPr>
      <w:r>
        <w:t>Die OFAC-Sanktionsklausel greift nach überzeugender Analyse nicht. Die Eigenschadensklausel ist ebenfalls nicht einschlägig. Der Vorsatzvorwurf lässt sich durch den Nachweis der Notlage und der transparenten Meldung an LDI NRW entkräften.</w:t>
      </w:r>
    </w:p>
    <w:p>
      <w:pPr>
        <w:jc w:val="left"/>
      </w:pPr>
      <w:r>
        <w:rPr>
          <w:b/>
        </w:rPr>
        <w:t>Einschätzung Erfolgswahrscheinlichkeit:</w:t>
      </w:r>
      <w:r>
        <w:t xml:space="preserve"> 60–65 %.</w:t>
      </w:r>
    </w:p>
    <w:p>
      <w:pPr>
        <w:jc w:val="left"/>
      </w:pPr>
      <w:r>
        <w:rPr>
          <w:b/>
        </w:rPr>
        <w:t>Hauptrisiko:</w:t>
      </w:r>
      <w:r>
        <w:t xml:space="preserve"> Das Gericht könnte die Frage der Gesellschafterbeschluss-Notwendigkeit anders bewerten und eine grob fahrlässige Pflichtverletzung annehmen.</w:t>
      </w:r>
    </w:p>
    <w:p/>
    <w:p>
      <w:pPr>
        <w:pStyle w:val="Heading2"/>
      </w:pPr>
      <w:r>
        <w:rPr>
          <w:rFonts w:ascii="Times New Roman" w:hAnsi="Times New Roman"/>
        </w:rPr>
        <w:t>IV. HDI Rückkaufswert — Prognose: gut</w:t>
      </w:r>
    </w:p>
    <w:p>
      <w:pPr>
        <w:jc w:val="left"/>
      </w:pPr>
      <w:r>
        <w:t>HDI hat den Stornoabzug bereits auf 3.000 EUR gesenkt. Der verbleibende Stornoabzug ist nach BGH IV ZR 199/22 angreifbar. Ein weiteres Entgegenkommen von HDI (Reduktion auf 1.500–2.000 EUR) erscheint realistisch, ohne Klage.</w:t>
      </w:r>
    </w:p>
    <w:p>
      <w:pPr>
        <w:jc w:val="left"/>
      </w:pPr>
      <w:r>
        <w:rPr>
          <w:b/>
        </w:rPr>
        <w:t>Empfehlung:</w:t>
      </w:r>
      <w:r>
        <w:t xml:space="preserve"> Zunächst außergerichtliche Einigung anstreben; Klage als ultima ratio.</w:t>
      </w:r>
    </w:p>
    <w:p/>
    <w:p>
      <w:pPr>
        <w:pStyle w:val="Heading2"/>
      </w:pPr>
      <w:r>
        <w:rPr>
          <w:rFonts w:ascii="Times New Roman" w:hAnsi="Times New Roman"/>
        </w:rPr>
        <w:t>V. Gesamtstrategie und Prioritäten</w:t>
      </w:r>
    </w:p>
    <w:p>
      <w:pPr>
        <w:jc w:val="left"/>
      </w:pPr>
      <w:r>
        <w:rPr>
          <w:b/>
        </w:rPr>
        <w:t>Priorität 1:</w:t>
      </w:r>
      <w:r>
        <w:t xml:space="preserve"> BU-Klage LG Aachen — zeitliche Dringlichkeit wegen rückständiger Renten (monatlich 1.850 EUR seit September 2025).</w:t>
      </w:r>
    </w:p>
    <w:p>
      <w:pPr>
        <w:jc w:val="left"/>
      </w:pPr>
      <w:r>
        <w:rPr>
          <w:b/>
        </w:rPr>
        <w:t>Priorität 2:</w:t>
      </w:r>
      <w:r>
        <w:t xml:space="preserve"> D&amp;O-Klage LG Köln — D&amp;O-Versicherungsschutz für Vogelweide sichern.</w:t>
      </w:r>
    </w:p>
    <w:p>
      <w:pPr>
        <w:jc w:val="left"/>
      </w:pPr>
      <w:r>
        <w:rPr>
          <w:b/>
        </w:rPr>
        <w:t>Priorität 3:</w:t>
      </w:r>
      <w:r>
        <w:t xml:space="preserve"> HDI Rückkaufswert — außergerichtlich klären, Liquiditätsbedarf der Mandantin kurzfristig sichern.</w:t>
      </w:r>
    </w:p>
    <w:p/>
    <w:p>
      <w:pPr>
        <w:pStyle w:val="Heading2"/>
      </w:pPr>
      <w:r>
        <w:rPr>
          <w:rFonts w:ascii="Times New Roman" w:hAnsi="Times New Roman"/>
        </w:rPr>
        <w:t>VI. Verfahrensübersicht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Streitwert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Prognose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BU-Klage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Aachen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 O 102/26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133.200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75–80 %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D&amp;O-Deckung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Köln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26 O 144/26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59.000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60–65 %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Ombudsmann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Vers-Omb 38211/26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HDI Rückkauf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außergerichtlich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3.000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BGW BK-5101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BGW-2025-BK-10924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/>
    <w:p>
      <w:pPr>
        <w:jc w:val="left"/>
      </w:pPr>
      <w:r>
        <w:rPr>
          <w:i/>
        </w:rPr>
        <w:t>Nächster Besprechungstermin mit Mandantin: 02.06.2026, 10:00 Uhr, Kanzlei.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