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 — BVG-Widerspruchsverfahren Abschleppen</w:t>
      </w:r>
    </w:p>
    <w:p>
      <w:pPr>
        <w:pStyle w:val="Heading2"/>
      </w:pPr>
      <w:r>
        <w:rPr>
          <w:rFonts w:ascii="Times New Roman" w:hAnsi="Times New Roman"/>
        </w:rPr>
        <w:t>Fristübersicht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Bescheid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Zustellung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Widerspruch eingegangen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 gewahrt?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Aktuelle Bearbeitungspriorität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 Ohrlich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 (Monatsfrist)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Routine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 Yilmaz-Kohl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erhöht — Foto-Reihenfolge ungeklärt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03 Brettschneider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Routine — Fahrerbenennung prüfen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 Voss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Routine — Leerfahrt-Tarif prüfen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 Kessling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erhöht — Notstand abwägen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06 Sokolow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erhöht — mobile Beschilderung, Vorlauffrist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Aufgaben</w:t>
      </w:r>
    </w:p>
    <w:p>
      <w:pPr>
        <w:pStyle w:val="ListBullet"/>
      </w:pPr>
      <w:r>
        <w:t>Widerspruchsbescheid mit Tenor (Zurückweisung, Teilabhilfe oder Vollabhilfe), Sachverhalt, Gründen und Rechtsbehelfsbelehrung.</w:t>
      </w:r>
    </w:p>
    <w:p>
      <w:pPr>
        <w:pStyle w:val="ListBullet"/>
      </w:pPr>
      <w:r>
        <w:t>Kosten- und Auslagenentscheidung nach § 80 VwVfG bzw. landesrechtlichem Pendant.</w:t>
      </w:r>
    </w:p>
    <w:p>
      <w:pPr>
        <w:pStyle w:val="ListBullet"/>
      </w:pPr>
      <w:r>
        <w:t>Bei (Teil-)Abhilfe: Aktennotiz für die Buchhaltung zur Stornierung oder Reduzierung der Forderung.</w:t>
      </w:r>
    </w:p>
    <w:p>
      <w:pPr>
        <w:pStyle w:val="ListBullet"/>
      </w:pPr>
      <w:r>
        <w:t>Bei Zurückweisung: Hinweis an die Mahnstelle zur Wiederaufnahme der Vollstreckung nach Ablauf der Klagefrist.</w:t>
      </w:r>
    </w:p>
    <w:p>
      <w:pPr>
        <w:pStyle w:val="Heading2"/>
      </w:pPr>
      <w:r>
        <w:rPr>
          <w:rFonts w:ascii="Times New Roman" w:hAnsi="Times New Roman"/>
        </w:rPr>
        <w:t>Klagefrist nach Erlass des Widerspruchsbescheids</w:t>
      </w:r>
    </w:p>
    <w:p>
      <w:pPr>
        <w:jc w:val="left"/>
      </w:pPr>
      <w:r>
        <w:t>Ein Monat ab Zustellung des Widerspruchsbescheids beim Verwaltungsgericht Berlin, Kirchstraße 7, 10557 Berlin (§ 74 Abs. 1 VwGO). Die Klage hat nach § 80 Abs. 2 Satz 1 Nr. 1 VwGO keine aufschiebende Wirkung.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