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CMR-Haftungsrahmen — Art. 23 Abs. 3 vs. Art. 29 CMR</w:t>
      </w:r>
    </w:p>
    <w:p>
      <w:pPr>
        <w:jc w:val="left"/>
      </w:pPr>
      <w:r>
        <w:t>Akte: LG Hannover 9 O 244/26</w:t>
      </w:r>
    </w:p>
    <w:p>
      <w:pPr>
        <w:jc w:val="left"/>
      </w:pPr>
      <w:r>
        <w:t>Verfasser: RAin Dr. Antonia Hammerschmidt</w:t>
      </w:r>
    </w:p>
    <w:p>
      <w:pPr>
        <w:jc w:val="left"/>
      </w:pPr>
      <w:r>
        <w:t>Stand: 20. März 2026</w:t>
      </w:r>
    </w:p>
    <w:p/>
    <w:p>
      <w:pPr>
        <w:pStyle w:val="Heading2"/>
      </w:pPr>
      <w:r>
        <w:rPr>
          <w:rFonts w:ascii="Times New Roman" w:hAnsi="Times New Roman"/>
        </w:rPr>
        <w:t>1. Überblick: Haftungssystem der CMR</w:t>
      </w:r>
    </w:p>
    <w:p>
      <w:pPr>
        <w:jc w:val="left"/>
      </w:pPr>
      <w:r>
        <w:t>Das Übereinkommen über den Beförderungsvertrag im internationalen Straßengüterverkehr (Convention relative au contrat de transport international de marchandises par route — CMR) vom 19. Mai 1956 ist für den streitgegenständlichen Transport einschlägig, da Übernahmeort (Wuppertal, Deutschland) und Ablieferungsort (Lyon, Frankreich) in zwei verschiedenen Vertragsstaaten liegen (Art. 1 Abs. 1 CMR). Beide Staaten sind Vertragsparteien der CMR.</w:t>
      </w:r>
    </w:p>
    <w:p>
      <w:pPr>
        <w:jc w:val="left"/>
      </w:pPr>
      <w:r>
        <w:t>Das CMR-Haftungssystem für Güterschäden folgt einem dreistufigen Aufbau:</w:t>
      </w:r>
    </w:p>
    <w:p>
      <w:pPr>
        <w:jc w:val="left"/>
      </w:pPr>
      <w:r>
        <w:rPr>
          <w:b/>
        </w:rPr>
        <w:t>Stufe 1 — Grundhaftung (Art. 17 Abs. 1 CMR):</w:t>
      </w:r>
      <w:r>
        <w:t xml:space="preserve"> Der Frachtführer haftet für den Verlust, die Beschädigung oder die Überschreitung der Lieferfrist, die zwischen dem Zeitpunkt der Übernahme und der Ablieferung eingetreten ist.</w:t>
      </w:r>
    </w:p>
    <w:p>
      <w:pPr>
        <w:jc w:val="left"/>
      </w:pPr>
      <w:r>
        <w:rPr>
          <w:b/>
        </w:rPr>
        <w:t>Stufe 2 — Haftungshöchstgrenze (Art. 23 Abs. 3 CMR):</w:t>
      </w:r>
      <w:r>
        <w:t xml:space="preserve"> Die Haftung ist der Höhe nach begrenzt. Diese Haftungsbeschränkung greift bei einfacher Fahrlässigkeit.</w:t>
      </w:r>
    </w:p>
    <w:p>
      <w:pPr>
        <w:jc w:val="left"/>
      </w:pPr>
      <w:r>
        <w:rPr>
          <w:b/>
        </w:rPr>
        <w:t>Stufe 3 — Durchbrechung der Haftungshöchstgrenze (Art. 29 CMR):</w:t>
      </w:r>
      <w:r>
        <w:t xml:space="preserve"> Bei Vorsatz oder einem vorsatzgleichen Verschulden (grobes Verschulden) entfällt die Haftungsbegrenzung; es gilt volle Schadensersatzhaftung.</w:t>
      </w:r>
    </w:p>
    <w:p/>
    <w:p>
      <w:pPr>
        <w:pStyle w:val="Heading2"/>
      </w:pPr>
      <w:r>
        <w:rPr>
          <w:rFonts w:ascii="Times New Roman" w:hAnsi="Times New Roman"/>
        </w:rPr>
        <w:t>2. Haftungshöchstgrenze nach Art. 23 Abs. 3 CMR</w:t>
      </w:r>
    </w:p>
    <w:p>
      <w:pPr>
        <w:pStyle w:val="Heading3"/>
      </w:pPr>
      <w:r>
        <w:rPr>
          <w:rFonts w:ascii="Times New Roman" w:hAnsi="Times New Roman"/>
        </w:rPr>
        <w:t>2.1 Normtext</w:t>
      </w:r>
    </w:p>
    <w:p>
      <w:pPr>
        <w:jc w:val="left"/>
      </w:pPr>
      <w:r>
        <w:t>Art. 23 Abs. 3 CMR lautet:</w:t>
      </w:r>
    </w:p>
    <w:p>
      <w:pPr>
        <w:ind w:left="567"/>
      </w:pPr>
      <w:r>
        <w:rPr>
          <w:i/>
        </w:rPr>
        <w:t>"Die Entschädigung darf jedoch 8,33 Rechnungseinheiten für jedes fehlende Kilogramm des Rohgewichts nicht übersteigen."</w:t>
      </w:r>
    </w:p>
    <w:p>
      <w:pPr>
        <w:jc w:val="left"/>
      </w:pPr>
      <w:r>
        <w:t>Als „Rechnungseinheit" im Sinne der CMR gilt nach dem Zusatzprotokoll vom 05. Juli 1978 das Sonderziehungsrecht (SZR/SDR) des Internationalen Währungsfonds (IWF).</w:t>
      </w:r>
    </w:p>
    <w:p>
      <w:pPr>
        <w:pStyle w:val="Heading3"/>
      </w:pPr>
      <w:r>
        <w:rPr>
          <w:rFonts w:ascii="Times New Roman" w:hAnsi="Times New Roman"/>
        </w:rPr>
        <w:t>2.2 Berechnung im Streitfall</w:t>
      </w:r>
    </w:p>
    <w:p>
      <w:pPr>
        <w:jc w:val="left"/>
      </w:pPr>
      <w:r>
        <w:t>Maßgebliches Gewicht: 348 kg (Bruttogewicht laut CMR-Frachtbrief Nr. CMR-2026-DE-001-0018)</w:t>
      </w:r>
    </w:p>
    <w:p>
      <w:pPr>
        <w:jc w:val="left"/>
      </w:pPr>
      <w:r>
        <w:t>Haftungshöchstbetrag in SZR:</w:t>
      </w:r>
    </w:p>
    <w:p>
      <w:pPr>
        <w:jc w:val="left"/>
      </w:pPr>
      <w:r>
        <w:t>348 kg × 8,33 SZR/kg = 2.898,84 SZR</w:t>
      </w:r>
    </w:p>
    <w:p>
      <w:pPr>
        <w:jc w:val="left"/>
      </w:pPr>
      <w:r>
        <w:t>Umrechnung in EUR (SZR-Kurs 14. Januar 2026, IWF-Publikation):</w:t>
      </w:r>
    </w:p>
    <w:p>
      <w:pPr>
        <w:jc w:val="left"/>
      </w:pPr>
      <w:r>
        <w:t>1 SZR = 1,2427 EUR (Tages-Kurs 14.01.2026, Quelle: IWF SDR Valuation Basket)</w:t>
      </w:r>
    </w:p>
    <w:p>
      <w:pPr>
        <w:jc w:val="left"/>
      </w:pPr>
      <w:r>
        <w:t>Haftungshöchstbetrag in EUR:</w:t>
      </w:r>
    </w:p>
    <w:p>
      <w:pPr>
        <w:jc w:val="left"/>
      </w:pPr>
      <w:r>
        <w:t>2.898,84 SZR × 1,2427 EUR/SZR = 3.603,55 EUR</w:t>
      </w:r>
    </w:p>
    <w:p>
      <w:pPr>
        <w:jc w:val="left"/>
      </w:pPr>
      <w:r>
        <w:rPr>
          <w:b/>
        </w:rPr>
        <w:t>Ergebnis:</w:t>
      </w:r>
      <w:r>
        <w:t xml:space="preserve"> Bei Geltung von Art. 23 Abs. 3 CMR ist die Haftung von Schwarmstedt auf rund 3.603 EUR begrenzt — anstelle des geltend gemachten Schadens von 8.208.000 EUR.</w:t>
      </w:r>
    </w:p>
    <w:p>
      <w:pPr>
        <w:pStyle w:val="Heading3"/>
      </w:pPr>
      <w:r>
        <w:rPr>
          <w:rFonts w:ascii="Times New Roman" w:hAnsi="Times New Roman"/>
        </w:rPr>
        <w:t>2.3 Rechtliche Bewertung der Haftungsbeschränkung</w:t>
      </w:r>
    </w:p>
    <w:p>
      <w:pPr>
        <w:jc w:val="left"/>
      </w:pPr>
      <w:r>
        <w:t>Die Haftungsbeschränkung ist erheblich: Der limitierte Betrag von ca. 3.603 EUR beträgt lediglich 0,044 % des Gesamtschadens von 8,208 Mio. EUR. Für die Mandantin ist es von existenzieller Bedeutung, die Wirksamkeit dieser Begrenzung zu verteidigen.</w:t>
      </w:r>
    </w:p>
    <w:p>
      <w:pPr>
        <w:jc w:val="left"/>
      </w:pPr>
      <w:r>
        <w:t>Grundvoraussetzung für die Anwendbarkeit von Art. 23 Abs. 3 CMR ist, dass kein Sachverhalt vorliegt, der nach Art. 29 CMR zur Haftungsdurchbrechung führt. Die Klägerin MediVita SE wird voraussichtlich genau dies behaupten.</w:t>
      </w:r>
    </w:p>
    <w:p/>
    <w:p>
      <w:pPr>
        <w:pStyle w:val="Heading2"/>
      </w:pPr>
      <w:r>
        <w:rPr>
          <w:rFonts w:ascii="Times New Roman" w:hAnsi="Times New Roman"/>
        </w:rPr>
        <w:t>3. Haftungsdurchbrechung nach Art. 29 CMR</w:t>
      </w:r>
    </w:p>
    <w:p>
      <w:pPr>
        <w:pStyle w:val="Heading3"/>
      </w:pPr>
      <w:r>
        <w:rPr>
          <w:rFonts w:ascii="Times New Roman" w:hAnsi="Times New Roman"/>
        </w:rPr>
        <w:t>3.1 Normtext</w:t>
      </w:r>
    </w:p>
    <w:p>
      <w:pPr>
        <w:jc w:val="left"/>
      </w:pPr>
      <w:r>
        <w:t>Art. 29 CMR lautet:</w:t>
      </w:r>
    </w:p>
    <w:p>
      <w:pPr>
        <w:ind w:left="567"/>
      </w:pPr>
      <w:r>
        <w:rPr>
          <w:i/>
        </w:rPr>
        <w:t>"(1) Der Frachtführer kann sich auf die Bestimmungen dieses Kapitels, die seine Haftung ausschließen oder begrenzen oder die Beweislast umkehren, nicht berufen, wenn er den Schaden vorsätzlich oder durch ein dem Vorsatz gleichstehendes Verschulden verursacht hat.</w:t>
      </w:r>
    </w:p>
    <w:p>
      <w:pPr>
        <w:ind w:left="567"/>
      </w:pPr>
    </w:p>
    <w:p>
      <w:pPr>
        <w:ind w:left="567"/>
      </w:pPr>
      <w:r>
        <w:rPr>
          <w:i/>
        </w:rPr>
        <w:t>(2) Gleiches gilt, wenn dies durch seine Bediensteten oder Beauftragten geschieht, soweit sie in Ausübung ihrer Verrichtungen handeln."</w:t>
      </w:r>
    </w:p>
    <w:p>
      <w:pPr>
        <w:pStyle w:val="Heading3"/>
      </w:pPr>
      <w:r>
        <w:rPr>
          <w:rFonts w:ascii="Times New Roman" w:hAnsi="Times New Roman"/>
        </w:rPr>
        <w:t>3.2 Der deutsche Haftungsmaßstab — "leichtfertiges Handeln in Bewusstsein der Wahrscheinlichkeit des Schadenseintritts"</w:t>
      </w:r>
    </w:p>
    <w:p>
      <w:pPr>
        <w:jc w:val="left"/>
      </w:pPr>
      <w:r>
        <w:t>Art. 29 CMR setzt nach herrschender Rechtsprechung des Bundesgerichtshofs (BGH, Urt. v. 13.02.2003 — I ZR 128/00, TranspR 2003, 255; BGH, Urt. v. 07.04.2011 — I ZR 34/09, NJW-RR 2012, 33) kein Vorsatzbewusstsein voraus, wohl aber:</w:t>
      </w:r>
    </w:p>
    <w:p>
      <w:pPr>
        <w:pStyle w:val="ListBullet"/>
      </w:pPr>
      <w:r>
        <w:rPr>
          <w:b/>
        </w:rPr>
        <w:t>leichtfertiges Handeln</w:t>
      </w:r>
      <w:r>
        <w:t xml:space="preserve"> (bewusste oder unbewusste Außerachtlassung naheliegender Sorgfaltspflichten) </w:t>
      </w:r>
      <w:r>
        <w:rPr>
          <w:b/>
        </w:rPr>
        <w:t>und</w:t>
      </w:r>
    </w:p>
    <w:p>
      <w:pPr>
        <w:pStyle w:val="ListBullet"/>
      </w:pPr>
      <w:r>
        <w:rPr>
          <w:b/>
        </w:rPr>
        <w:t>Bewusstsein von der Wahrscheinlichkeit des Schadenseintritts</w:t>
      </w:r>
      <w:r>
        <w:t xml:space="preserve"> (subjektive Komponente: der Handelnde hätte erkennen müssen und können, dass sein Verhalten typischerweise zu Schäden führt).</w:t>
      </w:r>
    </w:p>
    <w:p>
      <w:pPr>
        <w:jc w:val="left"/>
      </w:pPr>
      <w:r>
        <w:t>Dieses Zwei-Komponenten-Modell ist für den vorliegenden Fall entscheidend: Die Klägerin MediVita SE muss beide Elemente darlegen und beweisen.</w:t>
      </w:r>
    </w:p>
    <w:p>
      <w:pPr>
        <w:pStyle w:val="Heading3"/>
      </w:pPr>
      <w:r>
        <w:rPr>
          <w:rFonts w:ascii="Times New Roman" w:hAnsi="Times New Roman"/>
        </w:rPr>
        <w:t>3.3 Bewertung des Sachverhalts im Hinblick auf Art. 29 CMR</w:t>
      </w:r>
    </w:p>
    <w:p>
      <w:pPr>
        <w:jc w:val="left"/>
      </w:pPr>
      <w:r>
        <w:rPr>
          <w:b/>
        </w:rPr>
        <w:t>Argument der Klägerin (MediVita SE):</w:t>
      </w:r>
    </w:p>
    <w:p>
      <w:pPr>
        <w:jc w:val="left"/>
      </w:pPr>
      <w:r>
        <w:t>MediVita wird voraussichtlich vortragen, Catalin Petrescu habe zwischen 23:00 Uhr und 05:00 Uhr (also über sechs Stunden) keinerlei Temperaturkontrolle durchgeführt, obwohl der CMR-Frachtbrief unter "Besondere Vereinbarungen" eine Meldepflicht bei Temperaturabweichung &gt;0,5°C enthält und die für pharmazeutische Transporte geltenden GDP-Leitlinien (EU-Leitlinien für Gute Vertriebspraxis für Humanarzneimittel, 2013/C 68/01) eine kontinuierliche Überwachung verlangen. Daneben habe Schwarmstedt die Petrescu Transport SRL trotz bekannter Risiken ohne hinreichende GDP-Schulungsüberprüfung eingesetzt.</w:t>
      </w:r>
    </w:p>
    <w:p>
      <w:pPr>
        <w:jc w:val="left"/>
      </w:pPr>
      <w:r>
        <w:rPr>
          <w:b/>
        </w:rPr>
        <w:t>Gegenargument Schwarmstedt:</w:t>
      </w:r>
    </w:p>
    <w:p>
      <w:pPr>
        <w:jc w:val="left"/>
      </w:pPr>
      <w:r>
        <w:t>(a) Die Unterbrechung der Temperaturüberwachung durch den Fahrer begründet allenfalls einfache Fahrlässigkeit (Schlafen während der gesetzlich vorgeschriebenen Ruhepause), nicht aber leichtfertiges Handeln i.S.v. Art. 29 CMR.</w:t>
      </w:r>
    </w:p>
    <w:p>
      <w:pPr>
        <w:jc w:val="left"/>
      </w:pPr>
      <w:r>
        <w:t>(b) Schwarmstedt hat die Petrescu Transport SRL nach § 7a GüKG i.V.m. GDP-Anforderungen überprüft; das Kühlfahrzeug verfügte über einen funktionsfähigen automatischen Alarm bei Temperaturüberschreitung — es ist ungeklärt, warum dieser Alarm nicht ausgelöst hat (technischer Defekt möglich).</w:t>
      </w:r>
    </w:p>
    <w:p>
      <w:pPr>
        <w:jc w:val="left"/>
      </w:pPr>
      <w:r>
        <w:t>(c) Petrescu Transport SRL ist als zuverlässiger Subunternehmer über zwei Jahre ohne Beanstandungen tätig gewesen.</w:t>
      </w:r>
    </w:p>
    <w:p>
      <w:pPr>
        <w:jc w:val="left"/>
      </w:pPr>
      <w:r>
        <w:t>(d) Nach Art. 29 Abs. 2 CMR muss das grobe Verschulden bei einem Bediensteten oder Beauftragten „in Ausübung seiner Verrichtungen" vorliegen — hier ist die Frage, ob der schlafende Fahrer „in Ausübung seiner Verrichtungen" handelte; bei gesetzlich vorgeschriebener Ruhepause ist dies zumindest diskutabel.</w:t>
      </w:r>
    </w:p>
    <w:p>
      <w:pPr>
        <w:pStyle w:val="Heading3"/>
      </w:pPr>
      <w:r>
        <w:rPr>
          <w:rFonts w:ascii="Times New Roman" w:hAnsi="Times New Roman"/>
        </w:rPr>
        <w:t>3.4 Beweislast</w:t>
      </w:r>
    </w:p>
    <w:p>
      <w:pPr>
        <w:jc w:val="left"/>
      </w:pPr>
      <w:r>
        <w:t>Die Beweislast für Art. 29 CMR liegt bei der Klägerin MediVita SE (BGH, Urt. v. 13.02.2003, a.a.O.; OLG Hamburg, Urt. v. 05.03.2015 — 6 U 62/14, TranspR 2015, 412). MediVita muss also das leichtfertige Handeln und das Bewusstsein des Fahrers positiv beweisen — dies ist erfahrungsgemäß schwer, wenn der Schaden durch Unterlassen (Nicht-Kontrollieren) eingetreten ist und der Fahrer keine subjektiven Äußerungen gemacht hat.</w:t>
      </w:r>
    </w:p>
    <w:p/>
    <w:p>
      <w:pPr>
        <w:pStyle w:val="Heading2"/>
      </w:pPr>
      <w:r>
        <w:rPr>
          <w:rFonts w:ascii="Times New Roman" w:hAnsi="Times New Roman"/>
        </w:rPr>
        <w:t>4. Verhältnis zu § 435 HGB (nationale Parallelvorschrift)</w:t>
      </w:r>
    </w:p>
    <w:p>
      <w:pPr>
        <w:jc w:val="left"/>
      </w:pPr>
      <w:r>
        <w:t>§ 435 HGB entspricht Art. 29 CMR für den nationalen Güterverkehr. Der BGH hat die CMR-Norm und § 435 HGB im Hinblick auf den Maßstab des groben Verschuldens parallel ausgelegt (BGH, Urt. v. 20.01.2005 — I ZR 95/01, NJW-RR 2005, 1048). Für das Gerichtsverfahren vor dem LG Hannover ist unmittelbar die CMR anwendbar; § 435 HGB kann als argumentative Stütze herangezogen werden.</w:t>
      </w:r>
    </w:p>
    <w:p/>
    <w:p>
      <w:pPr>
        <w:pStyle w:val="Heading2"/>
      </w:pPr>
      <w:r>
        <w:rPr>
          <w:rFonts w:ascii="Times New Roman" w:hAnsi="Times New Roman"/>
        </w:rPr>
        <w:t>5. Wertdeklaration und Art. 24 CMR</w:t>
      </w:r>
    </w:p>
    <w:p>
      <w:pPr>
        <w:jc w:val="left"/>
      </w:pPr>
      <w:r>
        <w:t>MediVita SE hat im CMR-Frachtbrief keinen Wert deklariert. Art. 24 CMR sieht die Möglichkeit vor, durch schriftliche Erklärung des Absenders im Frachtbrief einen den in Art. 23 Abs. 3 CMR genannten Höchstbetrag übersteigenden Wert anzugeben; dieser Betrag tritt dann an die Stelle der gesetzlichen Höchstgrenze. Da eine solche Deklaration fehlt, kann MediVita SE nicht aus Art. 24 CMR vorgehen.</w:t>
      </w:r>
    </w:p>
    <w:p>
      <w:pPr>
        <w:jc w:val="left"/>
      </w:pPr>
      <w:r>
        <w:rPr>
          <w:b/>
        </w:rPr>
        <w:t>Relevanz:</w:t>
      </w:r>
      <w:r>
        <w:t xml:space="preserve"> Das Fehlen einer Wertdeklaration bei einer Sendung mit Warenwert von 12,4 Mio. EUR — einem Warenwert, der das Tausendfache der CMR-Haftungshöchstgrenze übersteigt — wird von der Verteidigung als Mitverantwortung des Versenders einzuführen sein (§ 254 BGB analog, sog. mitwirkendes Verschulden des Absenders, jedenfalls im Rahmen der Billigkeit).</w:t>
      </w:r>
    </w:p>
    <w:p/>
    <w:p>
      <w:pPr>
        <w:pStyle w:val="Heading2"/>
      </w:pPr>
      <w:r>
        <w:rPr>
          <w:rFonts w:ascii="Times New Roman" w:hAnsi="Times New Roman"/>
        </w:rPr>
        <w:t>6. Sonderinteresse nach Art. 26 CMR</w:t>
      </w:r>
    </w:p>
    <w:p>
      <w:pPr>
        <w:jc w:val="left"/>
      </w:pPr>
      <w:r>
        <w:t>Auch eine Erklärung eines Sonderinteresses an der Lieferung (Art. 26 CMR) fehlt. Diese hätte bei vereinbarter Summe eine erweiterte Schadenshaftung ermöglicht. MediVita kann hieraus nichts herleiten.</w:t>
      </w:r>
    </w:p>
    <w:p/>
    <w:p>
      <w:pPr>
        <w:pStyle w:val="Heading2"/>
      </w:pPr>
      <w:r>
        <w:rPr>
          <w:rFonts w:ascii="Times New Roman" w:hAnsi="Times New Roman"/>
        </w:rPr>
        <w:t>7. Deckungsklausel der Police vs. CMR-Haftungshöchstgrenze</w:t>
      </w:r>
    </w:p>
    <w:p>
      <w:pPr>
        <w:jc w:val="left"/>
      </w:pPr>
      <w:r>
        <w:t>Die Speditions-Police der Helvetia (74-SL-8832-2024) deckt "Haftungsansprüche aus CMR-Verträgen bis zu einem Betrag von 2.500.000 EUR je Schadensfall". Diese Deckungsgrenze ist relevant im Verhältnis zwischen Schwarmstedt und der Helvetia — sie betrifft aber nicht die CMR-Haftungsgrenze im Verhältnis Schwarmstedt/MediVita, die sich allein nach Art. 23 Abs. 3 CMR richtet.</w:t>
      </w:r>
    </w:p>
    <w:p/>
    <w:p>
      <w:pPr>
        <w:pStyle w:val="Heading2"/>
      </w:pPr>
      <w:r>
        <w:rPr>
          <w:rFonts w:ascii="Times New Roman" w:hAnsi="Times New Roman"/>
        </w:rPr>
        <w:t>8. Fazit und Verteidigungsstrategie LG Hannover</w:t>
      </w:r>
    </w:p>
    <w:p>
      <w:pPr>
        <w:jc w:val="left"/>
      </w:pPr>
      <w:r>
        <w:rPr>
          <w:b/>
        </w:rPr>
        <w:t>Primäre Verteidigungslinie:</w:t>
      </w:r>
      <w:r>
        <w:t xml:space="preserve"> Art. 23 Abs. 3 CMR begrenzt die Haftung auf ca. 3.603 EUR. MediVita hat keine Wertdeklaration (Art. 24 CMR) und kein Sonderinteresse (Art. 26 CMR) erklärt. Die Haftungsbeschränkung ist wirksam.</w:t>
      </w:r>
    </w:p>
    <w:p>
      <w:pPr>
        <w:jc w:val="left"/>
      </w:pPr>
      <w:r>
        <w:rPr>
          <w:b/>
        </w:rPr>
        <w:t>Sekundäre Linie (für den Fall, dass Art. 29 CMR streitig wird):</w:t>
      </w:r>
      <w:r>
        <w:t xml:space="preserve"> Leichtfertigkeit des Fahrers Catalin Petrescu ist nicht hinreichend belegt; die Beweislast liegt bei MediVita. Das Schlafen während der gesetzlichen Ruhezeit erfüllt nicht das subjektive Tatbestandsmerkmal des "Bewusstseins der Wahrscheinlichkeit des Schadenseintritts".</w:t>
      </w:r>
    </w:p>
    <w:p>
      <w:pPr>
        <w:jc w:val="left"/>
      </w:pPr>
      <w:r>
        <w:rPr>
          <w:b/>
        </w:rPr>
        <w:t>Tertiiäre Linie:</w:t>
      </w:r>
      <w:r>
        <w:t xml:space="preserve"> Mitverantwortung MediVita durch unterlassene Wertdeklaration und durch möglicherweise unzureichende Verpackung/Isolierung der Isotherm-Boxen (zu prüfen durch Sachverständigen Kretschmann).</w:t>
      </w:r>
    </w:p>
    <w:p>
      <w:pPr>
        <w:jc w:val="left"/>
      </w:pPr>
      <w:r>
        <w:rPr>
          <w:b/>
        </w:rPr>
        <w:t>Klärungsbedarf:</w:t>
      </w:r>
      <w:r>
        <w:t xml:space="preserve"> Technische Ursache des Temperaturanstiegs (Kühlaggregat-Defekt vs. Fahrerfehler); Alarmfunktion des DataTrack 4000 (warum hat dieser nicht ausgelöst?); GDP-Dokumentation von Petrescu Transport SRL.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