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Temperaturlogger-Auswertung — DataTrack 4000</w:t>
      </w:r>
    </w:p>
    <w:p>
      <w:pPr>
        <w:jc w:val="left"/>
      </w:pPr>
      <w:r>
        <w:t>Akte: LG Hannover 9 O 244/26</w:t>
      </w:r>
    </w:p>
    <w:p>
      <w:pPr>
        <w:jc w:val="left"/>
      </w:pPr>
      <w:r>
        <w:t>Fahrzeug: Scania R 450, Kennzeichen B-44-PTT / Auflieger B-88-RKL</w:t>
      </w:r>
    </w:p>
    <w:p>
      <w:pPr>
        <w:jc w:val="left"/>
      </w:pPr>
      <w:r>
        <w:t>Loggernr.: DT4-2025-7783</w:t>
      </w:r>
    </w:p>
    <w:p>
      <w:pPr>
        <w:jc w:val="left"/>
      </w:pPr>
      <w:r>
        <w:t>Auswertung: RAin Dr. Antonia Hammerschmidt / Sachverständigenbüro Prof. Dr. H. Kretschmann (TU Hamburg)</w:t>
      </w:r>
    </w:p>
    <w:p>
      <w:pPr>
        <w:jc w:val="left"/>
      </w:pPr>
      <w:r>
        <w:t>Stand: 25. März 2026</w:t>
      </w:r>
    </w:p>
    <w:p/>
    <w:p>
      <w:pPr>
        <w:pStyle w:val="Heading2"/>
      </w:pPr>
      <w:r>
        <w:rPr>
          <w:rFonts w:ascii="Times New Roman" w:hAnsi="Times New Roman"/>
        </w:rPr>
        <w:t>1. Gerät und Technische Spezifikation</w:t>
      </w:r>
    </w:p>
    <w:p>
      <w:pPr>
        <w:jc w:val="left"/>
      </w:pPr>
      <w:r>
        <w:t>Das DataTrack 4000 ist ein zertifizierter Temperaturlogger für pharmazeutische Kühlkettentransporte. Der Logger erfüllt die Anforderungen der EU-GMP-Leitlinien (Kapitel 3, Qualifizierung) und der WHO PQS-Spezifikation E 06/TR03. Aufzeichnung alle 5 Minuten, interner Speicher 2.000 Datenpunkte, GSM-Echtzeit-Übertragung an Petrescu Transport SRL Dispatcher-Software sowie an die Schwarmstedt-Leitstelle (Softrack 7, Soltau).</w:t>
      </w:r>
    </w:p>
    <w:p>
      <w:pPr>
        <w:jc w:val="left"/>
      </w:pPr>
      <w:r>
        <w:rPr>
          <w:b/>
        </w:rPr>
        <w:t>Technischer Hinweis:</w:t>
      </w:r>
      <w:r>
        <w:t xml:space="preserve"> Die DataTrack 4000 Betriebsanleitung (Rev. 2024-3) schreibt vor, dass bei Überschreitung der eingestellten Grenzwerte (hier: +8°C obere Alarmschwelle) ein akustischer Alarm im Fahrerhaus ertönt und eine SMS an die hinterlegten Nummern gesendet wird. Im vorliegenden Fall wurde nach bisheriger Feststellung weder eine SMS-Meldung empfangen noch ist dokumentiert, dass der Fahrerhaus-Alarm ausgelöst hat. Dies ist aufklärungsbedürftig.</w:t>
      </w:r>
    </w:p>
    <w:p/>
    <w:p>
      <w:pPr>
        <w:pStyle w:val="Heading2"/>
      </w:pPr>
      <w:r>
        <w:rPr>
          <w:rFonts w:ascii="Times New Roman" w:hAnsi="Times New Roman"/>
        </w:rPr>
        <w:t>2. Rohdaten — Kritische Phase (13./14. Januar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Uhrzeit (UTC+1)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Temp. [°C]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Letzte manuelle Fahrerüberprüfung laut Protokoll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23:05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00:00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Fahrzeugstopp A6, Raststätte Bourg-en-Bresse Ost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00:30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+8,0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Grenzwert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Exakt obere Grenze, noch kein Alarm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03:18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+8,3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Obere Alarmgrenze überschritten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+9,1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Anstieg kontinuierlich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03:28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+10,4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+11,8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+13,2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03:41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+14,3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Peak-Temperatur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03:46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+13,7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Beginn Abkühlung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03:51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+11,1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ALARM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03:54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+7,9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Ende Überschreitung (36 Minuten)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03:59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04:30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05:00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05:45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+6,8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Fahrzeug verlässt Raststätte (Weiterfahrt nach Lyon)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08:22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Ankunft Empfangsrampe HCL Lyon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Beurteilung durch Sachverständigen Prof. Dr. Kretschmann</w:t>
      </w:r>
    </w:p>
    <w:p>
      <w:pPr>
        <w:jc w:val="left"/>
      </w:pPr>
      <w:r>
        <w:t>Prof. Dr. Horst Kretschmann (Institut für Kühltechnik und Thermodynamik, TU Hamburg-Harburg) hat am 22. März 2026 ein vorläufiges Gutachten (Ref. TUH-KT-2026-0088) erstattet. Kernaussagen:</w:t>
      </w:r>
    </w:p>
    <w:p>
      <w:pPr>
        <w:pStyle w:val="Heading3"/>
      </w:pPr>
      <w:r>
        <w:rPr>
          <w:rFonts w:ascii="Times New Roman" w:hAnsi="Times New Roman"/>
        </w:rPr>
        <w:t>3.1 Ursache des Temperaturanstiegs</w:t>
      </w:r>
    </w:p>
    <w:p>
      <w:pPr>
        <w:jc w:val="left"/>
      </w:pPr>
      <w:r>
        <w:t>"Der Temperaturverlauf ab ca. 03:15 Uhr ist charakteristisch für einen kombinierten Effekt: (a) Aufwärmung des Laderaums durch Wärmeeinleitung von außen (Nachttemperatur Bourg-en-Bresse ca. +3°C, also kein starker externer Wärmeeintrag) und (b) vorübergehende Unterbrechung der aktiven Kühlung. Der steile Anstieg auf +14,3°C innerhalb von 23 Minuten ist mit einem bloßen Wärmeeintrag durch Laderaumöffnung nicht vollständig erklärbar; wahrscheinlicher ist eine kurzzeitige Abschaltung des Kühlaggregats oder ein elektronischer Reset des Carrier-Systems."</w:t>
      </w:r>
    </w:p>
    <w:p>
      <w:pPr>
        <w:jc w:val="left"/>
      </w:pPr>
      <w:r>
        <w:t>"Die Abkühlung ab 03:41 Uhr erfolgt ebenfalls steil, was auf eine Wiederaufnahme der aktiven Kühlung hindeutet. Ein 'natürliches' Abkühlen bei +3°C Außentemperatur wäre deutlich langsamer."</w:t>
      </w:r>
    </w:p>
    <w:p>
      <w:pPr>
        <w:jc w:val="left"/>
      </w:pPr>
      <w:r>
        <w:rPr>
          <w:b/>
        </w:rPr>
        <w:t>Zwischenergebnis Ursache:</w:t>
      </w:r>
      <w:r>
        <w:t xml:space="preserve"> Wahrscheinlich technische Unterbrechung des Kühlaggregats, nicht primär Fahrerfehler. Dies ist für Art. 29 CMR bedeutsam.</w:t>
      </w:r>
    </w:p>
    <w:p>
      <w:pPr>
        <w:pStyle w:val="Heading3"/>
      </w:pPr>
      <w:r>
        <w:rPr>
          <w:rFonts w:ascii="Times New Roman" w:hAnsi="Times New Roman"/>
        </w:rPr>
        <w:t>3.2 Schadensbeurteilung Pharmazeutika</w:t>
      </w:r>
    </w:p>
    <w:p>
      <w:pPr>
        <w:jc w:val="left"/>
      </w:pPr>
      <w:r>
        <w:t>"Monoklonale Antikörper (mAb) sind thermolabile Proteinverbindungen. Bei Temperaturexposition &gt;8°C für mehr als 30 Minuten ist eine irreversible Denaturierung oder Aggregatbildung wahrscheinlich. Der QS-Bericht HCL-QA-2026-0011 ist in seiner Schlussfolgerung (95 von 144 Vials unbrauchbar) plausibel, obwohl eine zerstörungsfreie Überprüfung nicht möglich ist. Zu prüfen ist, ob alle 12 Isotherm-Boxen gleichmäßig betroffen waren oder ob aufgrund der Lagestabilität innerhalb des Laderaums einzelne Bereiche weniger exponiert waren."</w:t>
      </w:r>
    </w:p>
    <w:p>
      <w:pPr>
        <w:pStyle w:val="Heading3"/>
      </w:pPr>
      <w:r>
        <w:rPr>
          <w:rFonts w:ascii="Times New Roman" w:hAnsi="Times New Roman"/>
        </w:rPr>
        <w:t>3.3 Alarmversagen DataTrack 4000</w:t>
      </w:r>
    </w:p>
    <w:p>
      <w:pPr>
        <w:jc w:val="left"/>
      </w:pPr>
      <w:r>
        <w:t>"Das Nichtauslösen des akustischen Alarms und der SMS-Benachrichtigung trotz nachgewiesener Temperaturüberschreitung ist technisch erklärungsbedürftig. Mögliche Ursachen: (a) Fehler in der Alarmkonfiguration des Geräts, (b) GSM-Funkloch im Bereich der Raststätte A6 (zu prüfen mit Netzbetreiberdaten), (c) defekte interne Alarmfunktion. Ich empfehle die physische Begutachtung des DataTrack 4000 Geräts."</w:t>
      </w:r>
    </w:p>
    <w:p/>
    <w:p>
      <w:pPr>
        <w:pStyle w:val="Heading2"/>
      </w:pPr>
      <w:r>
        <w:rPr>
          <w:rFonts w:ascii="Times New Roman" w:hAnsi="Times New Roman"/>
        </w:rPr>
        <w:t>4. Rechtliche Folgewirkung der Sachverständigenaussage</w:t>
      </w:r>
    </w:p>
    <w:p>
      <w:pPr>
        <w:pStyle w:val="Heading3"/>
      </w:pPr>
      <w:r>
        <w:rPr>
          <w:rFonts w:ascii="Times New Roman" w:hAnsi="Times New Roman"/>
        </w:rPr>
        <w:t>4.1 Für Art. 29 CMR</w:t>
      </w:r>
    </w:p>
    <w:p>
      <w:pPr>
        <w:jc w:val="left"/>
      </w:pPr>
      <w:r>
        <w:t>Wenn die Ursache ein technischer Kühlaggregat-Defekt war:</w:t>
      </w:r>
    </w:p>
    <w:p>
      <w:pPr>
        <w:pStyle w:val="ListBullet"/>
      </w:pPr>
      <w:r>
        <w:t>Kein leichtfertiges Handeln des Fahrers im Sinne von Art. 29 CMR</w:t>
      </w:r>
    </w:p>
    <w:p>
      <w:pPr>
        <w:pStyle w:val="ListBullet"/>
      </w:pPr>
      <w:r>
        <w:t>Möglicherweise Produkthaftung des Kühlaggregat-Herstellers (Carrier Transicold, ggf. Garantieansprüche)</w:t>
      </w:r>
    </w:p>
    <w:p>
      <w:pPr>
        <w:pStyle w:val="ListBullet"/>
      </w:pPr>
      <w:r>
        <w:t>Schwarmstedt hat Kühlaggregat-Wartungspflichten zu erfüllen (§ 3 Abs. 1 StVZO, ADR Abs. 9.2); zu prüfen: War das Aggregat ordnungsgemäß gewartet?</w:t>
      </w:r>
    </w:p>
    <w:p>
      <w:pPr>
        <w:jc w:val="left"/>
      </w:pPr>
      <w:r>
        <w:t>Wenn der Fahrer das Kühlaggregat bewusst oder fahrlässig abgeschaltet hat:</w:t>
      </w:r>
    </w:p>
    <w:p>
      <w:pPr>
        <w:pStyle w:val="ListBullet"/>
      </w:pPr>
      <w:r>
        <w:t>Einfache Fahrlässigkeit: Art. 23 Abs. 3 CMR anwendbar</w:t>
      </w:r>
    </w:p>
    <w:p>
      <w:pPr>
        <w:pStyle w:val="ListBullet"/>
      </w:pPr>
      <w:r>
        <w:t>Leichtfertigkeit: Nur wenn Bewusstsein der Wahrscheinlichkeit, dann Art. 29 CMR</w:t>
      </w:r>
    </w:p>
    <w:p>
      <w:pPr>
        <w:pStyle w:val="Heading3"/>
      </w:pPr>
      <w:r>
        <w:rPr>
          <w:rFonts w:ascii="Times New Roman" w:hAnsi="Times New Roman"/>
        </w:rPr>
        <w:t>4.2 Für Wartungsprotokoll</w:t>
      </w:r>
    </w:p>
    <w:p>
      <w:pPr>
        <w:jc w:val="left"/>
      </w:pPr>
      <w:r>
        <w:t>Petrescu Transport SRL ist nach Art. 3 CMR für Wartungszustand verantwortlich. Schwarmstedt muss darüber hinaus nach § 7a Abs. 1 GüKG und GDP-Anforderungen die Eignung des Subunternehmers nachgewiesen haben. Zu klären: Hat Schwarmstedt das Kühlfahrzeug der Petrescu Transport SRL vor Auftragsvergabe auf GDP-Konformität geprüft?</w:t>
      </w:r>
    </w:p>
    <w:p/>
    <w:p>
      <w:pPr>
        <w:pStyle w:val="Heading2"/>
      </w:pPr>
      <w:r>
        <w:rPr>
          <w:rFonts w:ascii="Times New Roman" w:hAnsi="Times New Roman"/>
        </w:rPr>
        <w:t>5. Wartungsprotokoll Kühlaggregat (Auszug, Petrescu Transport SRL)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Wartungsart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Werkstatt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Unterschrift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15.09.2025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Jahreswartung Carrier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Frigosped SRL, Bukarest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Mängel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B. Petrescu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05.11.2025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Ölwechsel Aggregat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Frigosped SRL, Bukarest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Ölstand ok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C. Petrescu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Kurzinspektion vor Fahrtantritt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 (Eigeninspektion)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Ok, Kühlkette geprüft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C. Petrescu</w:t>
            </w:r>
          </w:p>
        </w:tc>
      </w:tr>
    </w:tbl>
    <w:p>
      <w:pPr>
        <w:jc w:val="left"/>
      </w:pPr>
      <w:r>
        <w:t>Das Wartungsprotokoll liegt in rumänischer Sprache vor; eine notariell beglaubigte Übersetzung ist anzufertigen.</w:t>
      </w:r>
    </w:p>
    <w:p/>
    <w:p>
      <w:pPr>
        <w:pStyle w:val="Heading2"/>
      </w:pPr>
      <w:r>
        <w:rPr>
          <w:rFonts w:ascii="Times New Roman" w:hAnsi="Times New Roman"/>
        </w:rPr>
        <w:t>6. Zusammenfassung kritische Punkte</w:t>
      </w:r>
    </w:p>
    <w:p>
      <w:pPr>
        <w:pStyle w:val="ListNumber"/>
      </w:pPr>
      <w:r>
        <w:rPr>
          <w:b/>
        </w:rPr>
        <w:t>Ursache ungeklärt:</w:t>
      </w:r>
      <w:r>
        <w:t xml:space="preserve"> Technisches Versagen vs. Fahrerfehler — entscheidend für Art. 29 CMR</w:t>
      </w:r>
    </w:p>
    <w:p>
      <w:pPr>
        <w:pStyle w:val="ListNumber"/>
      </w:pPr>
      <w:r>
        <w:rPr>
          <w:b/>
        </w:rPr>
        <w:t>Alarm-Versagen:</w:t>
      </w:r>
      <w:r>
        <w:t xml:space="preserve"> DataTrack 4000 hat trotz Überschreitung nicht ausgelöst; mögliche Produkthaftung</w:t>
      </w:r>
    </w:p>
    <w:p>
      <w:pPr>
        <w:pStyle w:val="ListNumber"/>
      </w:pPr>
      <w:r>
        <w:rPr>
          <w:b/>
        </w:rPr>
        <w:t>Exposition:</w:t>
      </w:r>
      <w:r>
        <w:t xml:space="preserve"> 36 Minuten über +8°C, Peak +14,3°C — medizinisch-fachlich reicht das für Denaturierung</w:t>
      </w:r>
    </w:p>
    <w:p>
      <w:pPr>
        <w:pStyle w:val="ListNumber"/>
      </w:pPr>
      <w:r>
        <w:rPr>
          <w:b/>
        </w:rPr>
        <w:t>Schadensbegutachtung MediVita:</w:t>
      </w:r>
      <w:r>
        <w:t xml:space="preserve"> 95 von 144 Vials vernichtet; sachverständige Gegenprüfung notwendig</w:t>
      </w:r>
    </w:p>
    <w:p>
      <w:pPr>
        <w:pStyle w:val="ListNumber"/>
      </w:pPr>
      <w:r>
        <w:rPr>
          <w:b/>
        </w:rPr>
        <w:t>Überprüfungslücke:</w:t>
      </w:r>
      <w:r>
        <w:t xml:space="preserve"> Keine Fahrerüberprüfung über 6 Stunden (23:00 bis 05:00 Uhr) — möglicherweise Obliegenheitsverletzung, aber kein Art. 29 CMR-Sachverhalt ohne Bewusstsein des Schadens</w:t>
      </w:r>
    </w:p>
    <w:p/>
    <w:p>
      <w:pPr>
        <w:pStyle w:val="Heading2"/>
      </w:pPr>
      <w:r>
        <w:rPr>
          <w:rFonts w:ascii="Times New Roman" w:hAnsi="Times New Roman"/>
        </w:rPr>
        <w:t>7. Maßnahmen</w:t>
      </w:r>
    </w:p>
    <w:p>
      <w:pPr>
        <w:pStyle w:val="ListBullet"/>
      </w:pPr>
      <w:r>
        <w:t>[ ] Physische Begutachtung DataTrack 4000 durch Kretschmann (Termin 10. April 2026)</w:t>
      </w:r>
    </w:p>
    <w:p>
      <w:pPr>
        <w:pStyle w:val="ListBullet"/>
      </w:pPr>
      <w:r>
        <w:t>[ ] Netzbetreiberabfrage GSM-Abdeckung A6 / Bourg-en-Bresse (03:00 bis 04:00 Uhr, 14.01.2026)</w:t>
      </w:r>
    </w:p>
    <w:p>
      <w:pPr>
        <w:pStyle w:val="ListBullet"/>
      </w:pPr>
      <w:r>
        <w:t>[ ] Carrier Transicold Deutschland GmbH: Wartungshistorie Aggregat anfordern</w:t>
      </w:r>
    </w:p>
    <w:p>
      <w:pPr>
        <w:pStyle w:val="ListBullet"/>
      </w:pPr>
      <w:r>
        <w:t>[ ] Notariell beglaubigte Übersetzung Wartungsprotokoll Petrescu</w:t>
      </w:r>
    </w:p>
    <w:p>
      <w:pPr>
        <w:pStyle w:val="ListBullet"/>
      </w:pPr>
      <w:r>
        <w:t>[ ] Gegengutachten QS-Bericht HCL-QA-2026-0011 (Ladungsverteilung in Isotherm-Boxen)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