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Subunternehmer Petrescu Transport SRL — Regressansprüche und Haftungsprüfung</w:t>
      </w:r>
    </w:p>
    <w:p>
      <w:pPr>
        <w:jc w:val="left"/>
      </w:pPr>
      <w:r>
        <w:t>Akte: CMR-Transportschaden / Innenregress</w:t>
      </w:r>
    </w:p>
    <w:p>
      <w:pPr>
        <w:jc w:val="left"/>
      </w:pPr>
      <w:r>
        <w:t>Verfasserin: RAin Dr. Antonia Hammerschmidt</w:t>
      </w:r>
    </w:p>
    <w:p>
      <w:pPr>
        <w:jc w:val="left"/>
      </w:pPr>
      <w:r>
        <w:t>Stand: 28. März 2026</w:t>
      </w:r>
    </w:p>
    <w:p/>
    <w:p>
      <w:pPr>
        <w:pStyle w:val="Heading2"/>
      </w:pPr>
      <w:r>
        <w:rPr>
          <w:rFonts w:ascii="Times New Roman" w:hAnsi="Times New Roman"/>
        </w:rPr>
        <w:t>1. Grundsatz des Innenregresses nach Art. 37 CMR</w:t>
      </w:r>
    </w:p>
    <w:p>
      <w:pPr>
        <w:jc w:val="left"/>
      </w:pPr>
      <w:r>
        <w:t>Nach Art. 34 CMR haftet der erste Frachtführer (Schwarmstedt) dem Absender für die gesamte Beförderung. Das bedeutet: Wenn Schwarmstedt gegenüber MediVita SE zur Zahlung verurteilt wird oder zahlt, kann Schwarmstedt nach Art. 37 CMR Regress beim Ausführenden Frachtführer nehmen, der den Schaden verursacht hat.</w:t>
      </w:r>
    </w:p>
    <w:p>
      <w:pPr>
        <w:jc w:val="left"/>
      </w:pPr>
      <w:r>
        <w:rPr>
          <w:b/>
        </w:rPr>
        <w:t>Art. 37 CMR lautet:</w:t>
      </w:r>
    </w:p>
    <w:p>
      <w:pPr>
        <w:ind w:left="567"/>
      </w:pPr>
      <w:r>
        <w:rPr>
          <w:i/>
        </w:rPr>
        <w:t>"Der Frachtführer, der nach den Vorschriften dieses Übereinkommens Schadensersatz geleistet hat, hat das Recht, gegen die anderen an der Beförderung beteiligten Frachtführer vorzugehen, und zwar nach Maßgabe der folgenden Bestimmungen: [...]"</w:t>
      </w:r>
    </w:p>
    <w:p>
      <w:pPr>
        <w:jc w:val="left"/>
      </w:pPr>
      <w:r>
        <w:t>Im vorliegenden Fall: Schwarmstedt als erster Frachtführer → Petrescu Transport SRL als ausführender Frachtführer.</w:t>
      </w:r>
    </w:p>
    <w:p/>
    <w:p>
      <w:pPr>
        <w:pStyle w:val="Heading2"/>
      </w:pPr>
      <w:r>
        <w:rPr>
          <w:rFonts w:ascii="Times New Roman" w:hAnsi="Times New Roman"/>
        </w:rPr>
        <w:t>2. Prüfung des Regressanspruchs</w:t>
      </w:r>
    </w:p>
    <w:p>
      <w:pPr>
        <w:pStyle w:val="Heading3"/>
      </w:pPr>
      <w:r>
        <w:rPr>
          <w:rFonts w:ascii="Times New Roman" w:hAnsi="Times New Roman"/>
        </w:rPr>
        <w:t>2.1 Verschulden der Petrescu Transport SRL</w:t>
      </w:r>
    </w:p>
    <w:p>
      <w:pPr>
        <w:jc w:val="left"/>
      </w:pPr>
      <w:r>
        <w:rPr>
          <w:b/>
        </w:rPr>
        <w:t>Zu prüfen:</w:t>
      </w:r>
    </w:p>
    <w:p>
      <w:pPr>
        <w:jc w:val="left"/>
      </w:pPr>
      <w:r>
        <w:t xml:space="preserve">(a) </w:t>
      </w:r>
      <w:r>
        <w:rPr>
          <w:b/>
        </w:rPr>
        <w:t>Kühlaggregat-Überwachung:</w:t>
      </w:r>
      <w:r>
        <w:t xml:space="preserve"> War Catalin Petrescu nach dem Subfrachtvertrag und der CMR-Frachtbriefvereinbarung verpflichtet, das Kühlaggregat regelmäßig zu überwachen? — Ja: Der CMR-Frachtbrief enthält unter "Besondere Vereinbarungen" eine explizite Meldepflicht. Dass zwischen 23:00 und 05:00 Uhr keine Überprüfung stattfand, ist jedenfalls eine Verletzung dieser Vereinbarung.</w:t>
      </w:r>
    </w:p>
    <w:p>
      <w:pPr>
        <w:jc w:val="left"/>
      </w:pPr>
      <w:r>
        <w:t xml:space="preserve">(b) </w:t>
      </w:r>
      <w:r>
        <w:rPr>
          <w:b/>
        </w:rPr>
        <w:t>Alarmreaktion:</w:t>
      </w:r>
      <w:r>
        <w:t xml:space="preserve"> Sofern der DataTrack 4000 tatsächlich keinen akustischen Alarm ausgegeben hat, kann Petrescu dies als Exkulpationsgrund geltend machen. Falls der Alarm jedoch ausgelöst hat und Petrescu/Catalin Petrescu ihn ignoriert hat, liegt schuldhaftes Unterlassen vor.</w:t>
      </w:r>
    </w:p>
    <w:p>
      <w:pPr>
        <w:jc w:val="left"/>
      </w:pPr>
      <w:r>
        <w:t xml:space="preserve">(c) </w:t>
      </w:r>
      <w:r>
        <w:rPr>
          <w:b/>
        </w:rPr>
        <w:t>Wartungszustand Kühlaggregat:</w:t>
      </w:r>
      <w:r>
        <w:t xml:space="preserve"> Falls das Kühlaggregat defekt war und Petrescu dies kannte oder kennen musste (mangelhafte Eigenprüfung vor Fahrtantritt), haftet Petrescu nach Art. 17 Abs. 1 CMR für den Schaden.</w:t>
      </w:r>
    </w:p>
    <w:p>
      <w:pPr>
        <w:pStyle w:val="Heading3"/>
      </w:pPr>
      <w:r>
        <w:rPr>
          <w:rFonts w:ascii="Times New Roman" w:hAnsi="Times New Roman"/>
        </w:rPr>
        <w:t>2.2 Haftung für Sub-Sub-Vergabe</w:t>
      </w:r>
    </w:p>
    <w:p>
      <w:pPr>
        <w:jc w:val="left"/>
      </w:pPr>
      <w:r>
        <w:t>Die unerlaubte Vergabe an Cojocaru Flota SRL durch Petrescu Transport SRL verletzt den Subfrachtvertrag zwischen Schwarmstedt und Petrescu sowie § 1 Abs. 1 GüKG. Dies begründet vertragliche Schadensersatzansprüche Schwarmstedts gegen Petrescu unabhängig von der CMR-Haftung.</w:t>
      </w:r>
    </w:p>
    <w:p>
      <w:pPr>
        <w:pStyle w:val="Heading3"/>
      </w:pPr>
      <w:r>
        <w:rPr>
          <w:rFonts w:ascii="Times New Roman" w:hAnsi="Times New Roman"/>
        </w:rPr>
        <w:t>2.3 Fahrzeitüberschreitung des Fahrers</w:t>
      </w:r>
    </w:p>
    <w:p>
      <w:pPr>
        <w:jc w:val="left"/>
      </w:pPr>
      <w:r>
        <w:t>Die festgestellte Lenkzeitüberschreitung von Catalin Petrescu (5 Std. 48 Min. ohne vorgeschriebene Pause, Verstoß gegen Art. 7 VO (EG) 561/2006) ist im Regress relevant: Die Erschöpfung des Fahrers könnte zur verminderten Aufmerksamkeit beigetragen haben, was das Verschulden von Petrescu Transport SRL erhöht.</w:t>
      </w:r>
    </w:p>
    <w:p/>
    <w:p>
      <w:pPr>
        <w:pStyle w:val="Heading2"/>
      </w:pPr>
      <w:r>
        <w:rPr>
          <w:rFonts w:ascii="Times New Roman" w:hAnsi="Times New Roman"/>
        </w:rPr>
        <w:t>3. Subfrachtvertrag — Wesentliche Klauseln</w:t>
      </w:r>
    </w:p>
    <w:p>
      <w:pPr>
        <w:jc w:val="left"/>
      </w:pPr>
      <w:r>
        <w:t>Der Subfrachtvertrag zwischen Schwarmstedt Logistik GmbH und Petrescu Transport SRL (Ref. SL-2025-SUB-1188, abgeschlossen als Rahmenvertrag November 2023, angewendet auf den Einzeltransport) enthält u.a.:</w:t>
      </w:r>
    </w:p>
    <w:p>
      <w:pPr>
        <w:jc w:val="left"/>
      </w:pPr>
      <w:r>
        <w:rPr>
          <w:b/>
        </w:rPr>
        <w:t>§ 3 Fahrzeugpflichten:</w:t>
      </w:r>
    </w:p>
    <w:p>
      <w:pPr>
        <w:ind w:left="567"/>
      </w:pPr>
      <w:r>
        <w:rPr>
          <w:i/>
        </w:rPr>
        <w:t>"Der Auftragnehmer setzt ausschließlich zugelassene Kühlfahrzeuge ein, die den GDP-Leitlinien der EU entsprechen. Das eingesetzte Fahrzeug muss über eine funktionstüchtige automatische Temperaturüberwachung mit Alarmfunktion verfügen. Der Fahrer des Auftragnehmers ist verpflichtet, bei jeder Fahrtunterbrechung von mehr als 60 Minuten die Temperaturanzeige zu kontrollieren und eine manuelle Protokollnotiz zu fertigen."</w:t>
      </w:r>
    </w:p>
    <w:p>
      <w:pPr>
        <w:jc w:val="left"/>
      </w:pPr>
      <w:r>
        <w:rPr>
          <w:b/>
        </w:rPr>
        <w:t>§ 7 Weitervergabe:</w:t>
      </w:r>
    </w:p>
    <w:p>
      <w:pPr>
        <w:ind w:left="567"/>
      </w:pPr>
      <w:r>
        <w:rPr>
          <w:i/>
        </w:rPr>
        <w:t>"Eine Weitervergabe des Transports oder von Teilleistungen an Dritte ist dem Auftragnehmer ohne vorherige schriftliche Zustimmung des Auftraggebers untersagt."</w:t>
      </w:r>
    </w:p>
    <w:p>
      <w:pPr>
        <w:jc w:val="left"/>
      </w:pPr>
      <w:r>
        <w:rPr>
          <w:b/>
        </w:rPr>
        <w:t>§ 11 Haftung:</w:t>
      </w:r>
    </w:p>
    <w:p>
      <w:pPr>
        <w:ind w:left="567"/>
      </w:pPr>
      <w:r>
        <w:rPr>
          <w:i/>
        </w:rPr>
        <w:t>"Der Auftragnehmer haftet für alle Schäden, die er oder seine Erfüllungsgehilfen im Rahmen der Transportdurchführung verursachen, nach Maßgabe der CMR. Im Verhältnis zum Auftraggeber (Schwarmstedt Logistik GmbH) trägt der Auftragnehmer alle Nachteile, die dem Auftraggeber infolge von Pflichtverletzungen des Auftragnehmers entstehen, einschließlich Prozesskosten und außergerichtlicher Kosten."</w:t>
      </w:r>
    </w:p>
    <w:p>
      <w:pPr>
        <w:jc w:val="left"/>
      </w:pPr>
      <w:r>
        <w:rPr>
          <w:b/>
        </w:rPr>
        <w:t>§ 13 Versicherung:</w:t>
      </w:r>
    </w:p>
    <w:p>
      <w:pPr>
        <w:ind w:left="567"/>
      </w:pPr>
      <w:r>
        <w:rPr>
          <w:i/>
        </w:rPr>
        <w:t>"Der Auftragnehmer ist verpflichtet, eine Haftpflichtversicherung mit Deckungssumme von mindestens 1.000.000 EUR je Schadensfall zu unterhalten. Der Nachweis ist auf Anforderung unverzüglich vorzulegen."</w:t>
      </w:r>
    </w:p>
    <w:p/>
    <w:p>
      <w:pPr>
        <w:pStyle w:val="Heading2"/>
      </w:pPr>
      <w:r>
        <w:rPr>
          <w:rFonts w:ascii="Times New Roman" w:hAnsi="Times New Roman"/>
        </w:rPr>
        <w:t>4. Versicherungsschutz Petrescu Transport SRL</w:t>
      </w:r>
    </w:p>
    <w:p>
      <w:pPr>
        <w:jc w:val="left"/>
      </w:pPr>
      <w:r>
        <w:rPr>
          <w:b/>
        </w:rPr>
        <w:t>Haftpflichtversicherung:</w:t>
      </w:r>
      <w:r>
        <w:t xml:space="preserve"> Groupama Romania, Police R-TRK-2024-00881</w:t>
      </w:r>
    </w:p>
    <w:p>
      <w:pPr>
        <w:jc w:val="left"/>
      </w:pPr>
      <w:r>
        <w:rPr>
          <w:b/>
        </w:rPr>
        <w:t>Deckungssumme (angeblich):</w:t>
      </w:r>
      <w:r>
        <w:t xml:space="preserve"> 1.000.000 EUR je Schadensfall</w:t>
      </w:r>
    </w:p>
    <w:p>
      <w:pPr>
        <w:jc w:val="left"/>
      </w:pPr>
      <w:r>
        <w:t>Schwarmstedt hat Petrescu Transport SRL mit Schreiben vom 20. Januar 2026 (RAin Hammerschmidt) aufgefordert, den Versicherungsnachweis vorzulegen und den Schadensfall ihrer Versicherung zu melden. Petrescu hat mit E-Mail vom 25. Januar 2026 mitgeteilt, die Meldung sei erfolgt; den Versicherungsnachweis hat sie bisher nicht vollständig übermittelt (lediglich ein Scan des Deckungsblatts ohne Bedingungen).</w:t>
      </w:r>
    </w:p>
    <w:p>
      <w:pPr>
        <w:jc w:val="left"/>
      </w:pPr>
      <w:r>
        <w:rPr>
          <w:b/>
        </w:rPr>
        <w:t>Problem:</w:t>
      </w:r>
      <w:r>
        <w:t xml:space="preserve"> Die Police von Groupama Romania enthält nach vorliegender Seite 1 möglicherweise eine Klausel, die Deckung nur für Schäden vorsieht, bei denen das Fahrzeug der Petrescu Transport SRL unmittelbar beteiligt ist — da möglicherweise zeitweise Cojocaru Flota gefahren ist, könnte Groupama Deckung ablehnen. Dies ist zu prüfen.</w:t>
      </w:r>
    </w:p>
    <w:p/>
    <w:p>
      <w:pPr>
        <w:pStyle w:val="Heading2"/>
      </w:pPr>
      <w:r>
        <w:rPr>
          <w:rFonts w:ascii="Times New Roman" w:hAnsi="Times New Roman"/>
        </w:rPr>
        <w:t>5. Durchsetzbarkeit in Rumänien</w:t>
      </w:r>
    </w:p>
    <w:p>
      <w:pPr>
        <w:pStyle w:val="Heading3"/>
      </w:pPr>
      <w:r>
        <w:rPr>
          <w:rFonts w:ascii="Times New Roman" w:hAnsi="Times New Roman"/>
        </w:rPr>
        <w:t>5.1 Grundsatz EuGVVO</w:t>
      </w:r>
    </w:p>
    <w:p>
      <w:pPr>
        <w:jc w:val="left"/>
      </w:pPr>
      <w:r>
        <w:t>Die Durchsetzung eines deutschen Urteils gegen Petrescu Transport SRL in Rumänien richtet sich nach der Verordnung (EU) Nr. 1215/2012 (Brüssel-Ia-Verordnung). Urteile aus EU-Mitgliedstaaten werden in anderen EU-Mitgliedstaaten nach Art. 36 ff. EuGVVO direkt vollstreckt (Wegfall des Exequaturverfahrens seit 2015).</w:t>
      </w:r>
    </w:p>
    <w:p>
      <w:pPr>
        <w:pStyle w:val="Heading3"/>
      </w:pPr>
      <w:r>
        <w:rPr>
          <w:rFonts w:ascii="Times New Roman" w:hAnsi="Times New Roman"/>
        </w:rPr>
        <w:t>5.2 Pfändungsschutz und Vollstreckbarkeit</w:t>
      </w:r>
    </w:p>
    <w:p>
      <w:pPr>
        <w:jc w:val="left"/>
      </w:pPr>
      <w:r>
        <w:t>Petrescu Transport SRL ist ein kleines Unternehmen mit wenigen Fahrzeugen. Die Vollstreckung in Rumänien wäre schwierig: Fahrzeuge können gepfändet werden, aber Rumänien hat komplexe Vollstreckungsverfahren und Schuldnerschutzregelungen.</w:t>
      </w:r>
    </w:p>
    <w:p>
      <w:pPr>
        <w:jc w:val="left"/>
      </w:pPr>
      <w:r>
        <w:rPr>
          <w:b/>
        </w:rPr>
        <w:t>Empfehlung:</w:t>
      </w:r>
      <w:r>
        <w:t xml:space="preserve"> Sicherungsmaßnahmen (einstweilige Verfügung auf Pfändung von Bankkonten Petrescu Transport SRL in Deutschland, sofern diese dort Guthaben unterhalten) prüfen.</w:t>
      </w:r>
    </w:p>
    <w:p>
      <w:pPr>
        <w:pStyle w:val="Heading3"/>
      </w:pPr>
      <w:r>
        <w:rPr>
          <w:rFonts w:ascii="Times New Roman" w:hAnsi="Times New Roman"/>
        </w:rPr>
        <w:t>5.3 Klage in Deutschland</w:t>
      </w:r>
    </w:p>
    <w:p>
      <w:pPr>
        <w:jc w:val="left"/>
      </w:pPr>
      <w:r>
        <w:t>Da Schwarmstedt als Auftraggeberin den Hauptsitz in Deutschland hat und der Subfrachtvertrag deutschem Recht untersteht, ist deutsches Gericht zuständig (§ 29 ZPO, Erfüllungsort, alternativ Art. 7 Nr. 1 EuGVVO). Klage gegen Petrescu Transport SRL beim LG Hannover oder LG Walsrode (nach Zuständigkeitsprüfung) nach Abschluss des Hauptverfahrens MediVita/Schwarmstedt.</w:t>
      </w:r>
    </w:p>
    <w:p/>
    <w:p>
      <w:pPr>
        <w:pStyle w:val="Heading2"/>
      </w:pPr>
      <w:r>
        <w:rPr>
          <w:rFonts w:ascii="Times New Roman" w:hAnsi="Times New Roman"/>
        </w:rPr>
        <w:t>6. Lenkzeit-Verstoß als Regressverstärker</w:t>
      </w:r>
    </w:p>
    <w:p>
      <w:pPr>
        <w:jc w:val="left"/>
      </w:pPr>
      <w:r>
        <w:t>Das BALM hat den Lenkzeitverstoß des Catalin Petrescu festgestellt (5 Std. 48 Min. Lenkzeit ohne Pause, Verstoß Art. 7 VO (EG) 561/2006). Bußgeld gegen den Fahrer: 250 EUR (separat).</w:t>
      </w:r>
    </w:p>
    <w:p>
      <w:pPr>
        <w:jc w:val="left"/>
      </w:pPr>
      <w:r>
        <w:t>Im Regressprozess gegen Petrescu Transport SRL kann Schwarmstedt argumentieren:</w:t>
      </w:r>
    </w:p>
    <w:p>
      <w:pPr>
        <w:pStyle w:val="ListBullet"/>
      </w:pPr>
      <w:r>
        <w:t>Der Lenkzeitverstoß zeigt, dass Petrescu die Lenk- und Ruhezeitenregelungen nicht kontrolliert</w:t>
      </w:r>
    </w:p>
    <w:p>
      <w:pPr>
        <w:pStyle w:val="ListBullet"/>
      </w:pPr>
      <w:r>
        <w:t>Die Erschöpfung des Fahrers (Fahrt ohne Pause) erhöht das Risiko, dass der Fahrer Alarmmeldungen überhört oder nicht reagiert</w:t>
      </w:r>
    </w:p>
    <w:p>
      <w:pPr>
        <w:pStyle w:val="ListBullet"/>
      </w:pPr>
      <w:r>
        <w:t>Dies begründet ein erhöhtes Mitverschulden von Petrescu Transport SRL</w:t>
      </w:r>
    </w:p>
    <w:p/>
    <w:p>
      <w:pPr>
        <w:pStyle w:val="Heading2"/>
      </w:pPr>
      <w:r>
        <w:rPr>
          <w:rFonts w:ascii="Times New Roman" w:hAnsi="Times New Roman"/>
        </w:rPr>
        <w:t>7. Zusammenfassung Regress-Prüfung</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Anspruchsgrundlage</w:t>
            </w:r>
          </w:p>
        </w:tc>
        <w:tc>
          <w:tcPr>
            <w:tcW w:type="dxa" w:w="3024"/>
          </w:tcPr>
          <w:p>
            <w:r>
              <w:rPr>
                <w:rFonts w:ascii="Times New Roman" w:hAnsi="Times New Roman"/>
                <w:b/>
                <w:sz w:val="20"/>
              </w:rPr>
              <w:t>Betrag</w:t>
            </w:r>
          </w:p>
        </w:tc>
        <w:tc>
          <w:tcPr>
            <w:tcW w:type="dxa" w:w="3024"/>
          </w:tcPr>
          <w:p>
            <w:r>
              <w:rPr>
                <w:rFonts w:ascii="Times New Roman" w:hAnsi="Times New Roman"/>
                <w:b/>
                <w:sz w:val="20"/>
              </w:rPr>
              <w:t>Erfolgsaussicht</w:t>
            </w:r>
          </w:p>
        </w:tc>
      </w:tr>
      <w:tr>
        <w:tc>
          <w:tcPr>
            <w:tcW w:type="dxa" w:w="3024"/>
          </w:tcPr>
          <w:p>
            <w:r>
              <w:rPr>
                <w:rFonts w:ascii="Times New Roman" w:hAnsi="Times New Roman"/>
                <w:sz w:val="20"/>
              </w:rPr>
              <w:t>Art. 37 CMR (Innenregress Schadensersatz)</w:t>
            </w:r>
          </w:p>
        </w:tc>
        <w:tc>
          <w:tcPr>
            <w:tcW w:type="dxa" w:w="3024"/>
          </w:tcPr>
          <w:p>
            <w:r>
              <w:rPr>
                <w:rFonts w:ascii="Times New Roman" w:hAnsi="Times New Roman"/>
                <w:sz w:val="20"/>
              </w:rPr>
              <w:t>Bis 8.208.000 EUR (falls Art. 29 CMR)</w:t>
            </w:r>
          </w:p>
        </w:tc>
        <w:tc>
          <w:tcPr>
            <w:tcW w:type="dxa" w:w="3024"/>
          </w:tcPr>
          <w:p>
            <w:r>
              <w:rPr>
                <w:rFonts w:ascii="Times New Roman" w:hAnsi="Times New Roman"/>
                <w:sz w:val="20"/>
              </w:rPr>
              <w:t>Mittel — abhängig von technischer Ursachenklärung</w:t>
            </w:r>
          </w:p>
        </w:tc>
      </w:tr>
      <w:tr>
        <w:tc>
          <w:tcPr>
            <w:tcW w:type="dxa" w:w="3024"/>
          </w:tcPr>
          <w:p>
            <w:r>
              <w:rPr>
                <w:rFonts w:ascii="Times New Roman" w:hAnsi="Times New Roman"/>
                <w:sz w:val="20"/>
              </w:rPr>
              <w:t>Vertragsschaden § 280 BGB i.V.m. Subfrachtvertrag (Sub-Sub-Vergabe)</w:t>
            </w:r>
          </w:p>
        </w:tc>
        <w:tc>
          <w:tcPr>
            <w:tcW w:type="dxa" w:w="3024"/>
          </w:tcPr>
          <w:p>
            <w:r>
              <w:rPr>
                <w:rFonts w:ascii="Times New Roman" w:hAnsi="Times New Roman"/>
                <w:sz w:val="20"/>
              </w:rPr>
              <w:t>Kosten, Bußgeld, Prozesskosten</w:t>
            </w:r>
          </w:p>
        </w:tc>
        <w:tc>
          <w:tcPr>
            <w:tcW w:type="dxa" w:w="3024"/>
          </w:tcPr>
          <w:p>
            <w:r>
              <w:rPr>
                <w:rFonts w:ascii="Times New Roman" w:hAnsi="Times New Roman"/>
                <w:sz w:val="20"/>
              </w:rPr>
              <w:t>Gut</w:t>
            </w:r>
          </w:p>
        </w:tc>
      </w:tr>
      <w:tr>
        <w:tc>
          <w:tcPr>
            <w:tcW w:type="dxa" w:w="3024"/>
          </w:tcPr>
          <w:p>
            <w:r>
              <w:rPr>
                <w:rFonts w:ascii="Times New Roman" w:hAnsi="Times New Roman"/>
                <w:sz w:val="20"/>
              </w:rPr>
              <w:t>Lenkzeit-Regress (Bußgeld, Folgeschäden)</w:t>
            </w:r>
          </w:p>
        </w:tc>
        <w:tc>
          <w:tcPr>
            <w:tcW w:type="dxa" w:w="3024"/>
          </w:tcPr>
          <w:p>
            <w:r>
              <w:rPr>
                <w:rFonts w:ascii="Times New Roman" w:hAnsi="Times New Roman"/>
                <w:sz w:val="20"/>
              </w:rPr>
              <w:t>250 EUR + evtl. Folgekosten</w:t>
            </w:r>
          </w:p>
        </w:tc>
        <w:tc>
          <w:tcPr>
            <w:tcW w:type="dxa" w:w="3024"/>
          </w:tcPr>
          <w:p>
            <w:r>
              <w:rPr>
                <w:rFonts w:ascii="Times New Roman" w:hAnsi="Times New Roman"/>
                <w:sz w:val="20"/>
              </w:rPr>
              <w:t>Gut</w:t>
            </w:r>
          </w:p>
        </w:tc>
      </w:tr>
      <w:tr>
        <w:tc>
          <w:tcPr>
            <w:tcW w:type="dxa" w:w="3024"/>
          </w:tcPr>
          <w:p>
            <w:r>
              <w:rPr>
                <w:rFonts w:ascii="Times New Roman" w:hAnsi="Times New Roman"/>
                <w:sz w:val="20"/>
              </w:rPr>
              <w:t>Gesamthöhe Regress maximal</w:t>
            </w:r>
          </w:p>
        </w:tc>
        <w:tc>
          <w:tcPr>
            <w:tcW w:type="dxa" w:w="3024"/>
          </w:tcPr>
          <w:p>
            <w:r>
              <w:rPr>
                <w:rFonts w:ascii="Times New Roman" w:hAnsi="Times New Roman"/>
                <w:sz w:val="20"/>
              </w:rPr>
              <w:t>Ca. 8,5 Mio. EUR</w:t>
            </w:r>
          </w:p>
        </w:tc>
        <w:tc>
          <w:tcPr>
            <w:tcW w:type="dxa" w:w="3024"/>
          </w:tcPr>
          <w:p>
            <w:r>
              <w:rPr>
                <w:rFonts w:ascii="Times New Roman" w:hAnsi="Times New Roman"/>
                <w:sz w:val="20"/>
              </w:rPr>
              <w:t>—</w:t>
            </w:r>
          </w:p>
        </w:tc>
      </w:tr>
      <w:tr>
        <w:tc>
          <w:tcPr>
            <w:tcW w:type="dxa" w:w="3024"/>
          </w:tcPr>
          <w:p>
            <w:r>
              <w:rPr>
                <w:rFonts w:ascii="Times New Roman" w:hAnsi="Times New Roman"/>
                <w:sz w:val="20"/>
              </w:rPr>
              <w:t>Realistische Eintreibbarkeit (Bonitätslage Petrescu)</w:t>
            </w:r>
          </w:p>
        </w:tc>
        <w:tc>
          <w:tcPr>
            <w:tcW w:type="dxa" w:w="3024"/>
          </w:tcPr>
          <w:p>
            <w:r>
              <w:rPr>
                <w:rFonts w:ascii="Times New Roman" w:hAnsi="Times New Roman"/>
                <w:sz w:val="20"/>
              </w:rPr>
              <w:t>500.000–1.000.000 EUR</w:t>
            </w:r>
          </w:p>
        </w:tc>
        <w:tc>
          <w:tcPr>
            <w:tcW w:type="dxa" w:w="3024"/>
          </w:tcPr>
          <w:p>
            <w:r>
              <w:rPr>
                <w:rFonts w:ascii="Times New Roman" w:hAnsi="Times New Roman"/>
                <w:sz w:val="20"/>
              </w:rPr>
              <w:t>Schwierig</w:t>
            </w:r>
          </w:p>
        </w:tc>
      </w:tr>
    </w:tbl>
    <w:p/>
    <w:p>
      <w:pPr>
        <w:pStyle w:val="Heading2"/>
      </w:pPr>
      <w:r>
        <w:rPr>
          <w:rFonts w:ascii="Times New Roman" w:hAnsi="Times New Roman"/>
        </w:rPr>
        <w:t>8. Nächste Schritte</w:t>
      </w:r>
    </w:p>
    <w:p>
      <w:pPr>
        <w:pStyle w:val="ListBullet"/>
      </w:pPr>
      <w:r>
        <w:t>[ ] Vollständige Police Groupama Romania anfordern (7-Tage-Frist gesetzt, Schreiben 28.03.2026)</w:t>
      </w:r>
    </w:p>
    <w:p>
      <w:pPr>
        <w:pStyle w:val="ListBullet"/>
      </w:pPr>
      <w:r>
        <w:t>[ ] Notariell beglaubigte Übersetzung Subfrachtvertrag und Wartungsprotokoll</w:t>
      </w:r>
    </w:p>
    <w:p>
      <w:pPr>
        <w:pStyle w:val="ListBullet"/>
      </w:pPr>
      <w:r>
        <w:t>[ ] Sicherungsmaßnahmen Petrescu Transport SRL prüfen (einstweilige Verfügung)</w:t>
      </w:r>
    </w:p>
    <w:p>
      <w:pPr>
        <w:pStyle w:val="ListBullet"/>
      </w:pPr>
      <w:r>
        <w:t>[ ] Bericht an Mandanten Funkbruch über Regresserfolgsaussichten</w:t>
      </w:r>
    </w:p>
    <w:p>
      <w:pPr>
        <w:pStyle w:val="ListBullet"/>
      </w:pPr>
      <w:r>
        <w:t>[ ] Koordination mit Groupama Romania (Direktkontakt prüfen)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