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BALM-Bußgeldverfahren — GüKG, VO (EG) 561/2006</w:t>
      </w:r>
    </w:p>
    <w:p>
      <w:pPr>
        <w:jc w:val="left"/>
      </w:pPr>
      <w:r>
        <w:t>Akte: AG Hannover OWi 31a OWi 4188 Js 7711/26</w:t>
      </w:r>
    </w:p>
    <w:p>
      <w:pPr>
        <w:jc w:val="left"/>
      </w:pPr>
      <w:r>
        <w:t>Verfasserin: RAin Dr. Antonia Hammerschmidt</w:t>
      </w:r>
    </w:p>
    <w:p>
      <w:pPr>
        <w:jc w:val="left"/>
      </w:pPr>
      <w:r>
        <w:t>Stand: 01. April 2026</w:t>
      </w:r>
    </w:p>
    <w:p/>
    <w:p>
      <w:pPr>
        <w:pStyle w:val="Heading2"/>
      </w:pPr>
      <w:r>
        <w:rPr>
          <w:rFonts w:ascii="Times New Roman" w:hAnsi="Times New Roman"/>
        </w:rPr>
        <w:t>1. Sachverhalt und Bußgeldbescheid</w:t>
      </w:r>
    </w:p>
    <w:p>
      <w:pPr>
        <w:jc w:val="left"/>
      </w:pPr>
      <w:r>
        <w:t>Das Bundesamt für Logistik und Mobilität (BALM, ehemals: Bundesamt für Güterverkehr, BAG; umbenannt nach Organisationsreform 2023) hat mit Bußgeldbescheid vom 03. März 2026 (Az. BALM-BuG 2026-0443-ND) folgende Ordnungswidrigkeiten festgestellt und geahndet:</w:t>
      </w:r>
    </w:p>
    <w:p>
      <w:pPr>
        <w:pStyle w:val="Heading3"/>
      </w:pPr>
      <w:r>
        <w:rPr>
          <w:rFonts w:ascii="Times New Roman" w:hAnsi="Times New Roman"/>
        </w:rPr>
        <w:t>OWi 1: Unerlaubte Sub-Sub-Vergabe ohne Lizenz (§ 1 Abs. 1 GüKG i.V.m. VO (EG) 1072/2009)</w:t>
      </w:r>
    </w:p>
    <w:p>
      <w:pPr>
        <w:jc w:val="left"/>
      </w:pPr>
      <w:r>
        <w:rPr>
          <w:b/>
        </w:rPr>
        <w:t>Sachverhalt:</w:t>
      </w:r>
      <w:r>
        <w:t xml:space="preserve"> Nach Feststellung des BALM hat Petrescu Transport SRL (Bukarest) die Beförderung auf dem deutschen Streckenabschnitt (A3 Köln–Frankfurt a.M.) teilweise an die Cojocaru Flota SRL (Galați, Rumänien) weitervergeben. Die Cojocaru Flota SRL verfügte für deutsche Streckenabschnitte zum Zeitpunkt des Transports nicht über eine gültige EU-Gemeinschaftslizenz im Sinne von Art. 4 VO (EG) Nr. 1072/2009. Eine bloße rumänische Inlandsgenehmigung reicht für Kabotage oder grenzüberschreitenden Güterverkehr in Deutschland nicht aus.</w:t>
      </w:r>
    </w:p>
    <w:p>
      <w:pPr>
        <w:jc w:val="left"/>
      </w:pPr>
      <w:r>
        <w:rPr>
          <w:b/>
        </w:rPr>
        <w:t>Rechtsgrundlage:</w:t>
      </w:r>
      <w:r>
        <w:t xml:space="preserve"> § 1 Abs. 1 GüKG verlangt für den gewerblichen Güterverkehr mit Kraftfahrzeugen eine EU-Gemeinschaftslizenz (VO (EG) 1072/2009) oder eine nationale Lizenz (§ 3 GüKG). Der Verstoß gegen § 1 Abs. 1 GüKG ist nach § 19 Abs. 1 Nr. 1 GüKG eine Ordnungswidrigkeit, die mit Geldbuße bis zu 50.000 EUR geahndet werden kann.</w:t>
      </w:r>
    </w:p>
    <w:p>
      <w:pPr>
        <w:jc w:val="left"/>
      </w:pPr>
      <w:r>
        <w:rPr>
          <w:b/>
        </w:rPr>
        <w:t>Haftung des Auftraggebers:</w:t>
      </w:r>
      <w:r>
        <w:t xml:space="preserve"> Nach § 7a Abs. 2 GüKG ist der Auftraggeber (hier: Schwarmstedt Logistik GmbH als Hauptfrachtführer, der Petrescu beauftragt hat) verpflichtet, bei der Beauftragung von Frachtführern deren Genehmigungen zu überprüfen. Er hat jedoch die unmittelbare Subbeauftragung an Cojocaru Flota nicht veranlasst — diese erfolgte durch Petrescu ohne sein Wissen. Das BALM hält Schwarmstedt gleichwohl als Mitverantwortliche für eine Organisationspflichtverletzung (fehlende Vertragskontrolle über Petrescu).</w:t>
      </w:r>
    </w:p>
    <w:p>
      <w:pPr>
        <w:jc w:val="left"/>
      </w:pPr>
      <w:r>
        <w:rPr>
          <w:b/>
        </w:rPr>
        <w:t>Bußgeld gegen Schwarmstedt Logistik GmbH:</w:t>
      </w:r>
      <w:r>
        <w:t xml:space="preserve"> 25.000 EUR</w:t>
      </w:r>
    </w:p>
    <w:p>
      <w:pPr>
        <w:pStyle w:val="Heading3"/>
      </w:pPr>
      <w:r>
        <w:rPr>
          <w:rFonts w:ascii="Times New Roman" w:hAnsi="Times New Roman"/>
        </w:rPr>
        <w:t>OWi 2: Überlange Lenkzeit des Fahrers (Art. 7 VO (EG) 561/2006)</w:t>
      </w:r>
    </w:p>
    <w:p>
      <w:pPr>
        <w:jc w:val="left"/>
      </w:pPr>
      <w:r>
        <w:rPr>
          <w:b/>
        </w:rPr>
        <w:t>Sachverhalt:</w:t>
      </w:r>
      <w:r>
        <w:t xml:space="preserve"> Die Tachographendaten des Fahrers Catalin Petrescu ergaben auf der Strecke Köln–Straßburg eine zusammenhängende Lenkzeit von 5 Stunden 48 Minuten ohne die nach Art. 7 VO (EG) Nr. 561/2006 vorgeschriebene Unterbrechung von 45 Minuten (alternativ: 15 + 30 Minuten in dieser Reihenfolge) nach spätestens 4,5 Stunden Lenkzeit.</w:t>
      </w:r>
    </w:p>
    <w:p>
      <w:pPr>
        <w:jc w:val="left"/>
      </w:pPr>
      <w:r>
        <w:rPr>
          <w:b/>
        </w:rPr>
        <w:t>Rechtsgrundlage:</w:t>
      </w:r>
      <w:r>
        <w:t xml:space="preserve"> Art. 7 VO (EG) 561/2006 ist unmittelbar anwendbares EU-Recht. Verstöße gegen Lenk- und Ruhezeiten werden nach § 8 Abs. 1 Nr. 1 FPersG i.V.m. der Bußgeldkatalogverordnung (BKatV) geahndet. Der Regelbußgeldsatz für Lenkzeitüberschreitung &gt;30 Min. liegt bei 250 EUR für den Fahrer.</w:t>
      </w:r>
    </w:p>
    <w:p>
      <w:pPr>
        <w:jc w:val="left"/>
      </w:pPr>
      <w:r>
        <w:rPr>
          <w:b/>
        </w:rPr>
        <w:t>Bußgeld gegen Catalin Petrescu (Fahrer):</w:t>
      </w:r>
      <w:r>
        <w:t xml:space="preserve"> 250 EUR (separat verfolgt)</w:t>
      </w:r>
    </w:p>
    <w:p>
      <w:pPr>
        <w:jc w:val="left"/>
      </w:pPr>
      <w:r>
        <w:rPr>
          <w:b/>
        </w:rPr>
        <w:t>Bußgeld gegen Petrescu Transport SRL (Unternehmer):</w:t>
      </w:r>
      <w:r>
        <w:t xml:space="preserve"> BALM prüft gesonderte Verfolgung in Rumänien (EU-Rechtshilfeverfahren)</w:t>
      </w:r>
    </w:p>
    <w:p/>
    <w:p>
      <w:pPr>
        <w:pStyle w:val="Heading2"/>
      </w:pPr>
      <w:r>
        <w:rPr>
          <w:rFonts w:ascii="Times New Roman" w:hAnsi="Times New Roman"/>
        </w:rPr>
        <w:t>2. Einspruch und Einspruchsbegründung</w:t>
      </w:r>
    </w:p>
    <w:p>
      <w:pPr>
        <w:jc w:val="left"/>
      </w:pPr>
      <w:r>
        <w:t>Schwarmstedt Logistik GmbH hat durch RAin Dr. Hammerschmidt mit Schreiben vom 13. März 2026 Einspruch gegen den Bußgeldbescheid BALM-BuG 2026-0443-ND eingelegt. Das AG Hannover hat den Einspruch als fristgerecht eingelegt akzeptiert (AZ: OWi 31a OWi 4188 Js 7711/26). Termin zur mündlichen Verhandlung: noch nicht bestimmt.</w:t>
      </w:r>
    </w:p>
    <w:p>
      <w:pPr>
        <w:pStyle w:val="Heading3"/>
      </w:pPr>
      <w:r>
        <w:rPr>
          <w:rFonts w:ascii="Times New Roman" w:hAnsi="Times New Roman"/>
        </w:rPr>
        <w:t>Einspruchsbegründung (Kernargumente)</w:t>
      </w:r>
    </w:p>
    <w:p>
      <w:pPr>
        <w:jc w:val="left"/>
      </w:pPr>
      <w:r>
        <w:rPr>
          <w:b/>
        </w:rPr>
        <w:t>Zu OWi 1 (Sub-Sub-Vergabe):</w:t>
      </w:r>
    </w:p>
    <w:p>
      <w:pPr>
        <w:jc w:val="left"/>
      </w:pPr>
      <w:r>
        <w:t xml:space="preserve">(1) </w:t>
      </w:r>
      <w:r>
        <w:rPr>
          <w:b/>
        </w:rPr>
        <w:t>Kein eigenes Handeln von Schwarmstedt:</w:t>
      </w:r>
      <w:r>
        <w:t xml:space="preserve"> Die unerlaubte Vergabe an Cojocaru Flota SRL erfolgte allein durch Petrescu Transport SRL ohne Wissen, Genehmigung oder Veranlassung der Schwarmstedt Logistik GmbH. Das ist kein von Schwarmstedt begangener Gesetzesverstoß.</w:t>
      </w:r>
    </w:p>
    <w:p>
      <w:pPr>
        <w:jc w:val="left"/>
      </w:pPr>
      <w:r>
        <w:t xml:space="preserve">(2) </w:t>
      </w:r>
      <w:r>
        <w:rPr>
          <w:b/>
        </w:rPr>
        <w:t>Keine Auftraggeberhaftung nach GüKG für fremde Sub-Sub-Vergabe:</w:t>
      </w:r>
      <w:r>
        <w:t xml:space="preserve"> § 7a Abs. 2 GüKG verpflichtet Schwarmstedt zur Überprüfung der Petrescu-Lizenz (die vorhanden war), nicht zur lückenlosen Überwachung aller von Petrescu selbst vorgenommenen Subbeauftragungen. Eine Kontrollpflicht zweiter Stufe (Überwachung des Subunternehmers in dessen Subvergaben) besteht nach GüKG nicht.</w:t>
      </w:r>
    </w:p>
    <w:p>
      <w:pPr>
        <w:jc w:val="left"/>
      </w:pPr>
      <w:r>
        <w:t xml:space="preserve">(3) </w:t>
      </w:r>
      <w:r>
        <w:rPr>
          <w:b/>
        </w:rPr>
        <w:t>Verhältnismäßigkeit:</w:t>
      </w:r>
      <w:r>
        <w:t xml:space="preserve"> Ein Bußgeld von 25.000 EUR für eine Pflichtverletzung, die Schwarmstedt weder begangen noch veranlasst hat, ist unverhältnismäßig. Täter der Ordnungswidrigkeit ist ausschließlich Petrescu Transport SRL.</w:t>
      </w:r>
    </w:p>
    <w:p>
      <w:pPr>
        <w:jc w:val="left"/>
      </w:pPr>
      <w:r>
        <w:t xml:space="preserve">(4) </w:t>
      </w:r>
      <w:r>
        <w:rPr>
          <w:b/>
        </w:rPr>
        <w:t>Alternativargument:</w:t>
      </w:r>
      <w:r>
        <w:t xml:space="preserve"> Falls das Gericht eine Verantwortlichkeit annimmt — was bestritten wird — wäre ein signifikant geringeres Bußgeld angemessen. Der Bußgeldrahmen nach § 19 GüKG erlaubt gestaffelte Reaktion.</w:t>
      </w:r>
    </w:p>
    <w:p>
      <w:pPr>
        <w:jc w:val="left"/>
      </w:pPr>
      <w:r>
        <w:rPr>
          <w:b/>
        </w:rPr>
        <w:t>Zu OWi 2 (Lenkzeit):</w:t>
      </w:r>
    </w:p>
    <w:p>
      <w:pPr>
        <w:jc w:val="left"/>
      </w:pPr>
      <w:r>
        <w:t>Schwarmstedt Logistik GmbH ist nicht Arbeitgeber des Fahrers Catalin Petrescu und hat keinen unmittelbaren Einfluss auf die Fahrtplanung von Petrescu Transport SRL. Die Pflichten aus VO (EG) 561/2006 zur Einhaltung der Lenk- und Ruhezeiten obliegen dem Transportunternehmen (Petrescu Transport SRL) und dem Fahrer (Catalin Petrescu), nicht dem Auftraggeber Schwarmstedt. § 8 FPersG richtet sich an den Betriebsinhaber des Fahrzeugs und an den Fahrer, nicht an den beauftragenden Spediteur.</w:t>
      </w:r>
    </w:p>
    <w:p/>
    <w:p>
      <w:pPr>
        <w:pStyle w:val="Heading2"/>
      </w:pPr>
      <w:r>
        <w:rPr>
          <w:rFonts w:ascii="Times New Roman" w:hAnsi="Times New Roman"/>
        </w:rPr>
        <w:t>3. Rechtliche Einordnung GüKG</w:t>
      </w:r>
    </w:p>
    <w:p>
      <w:pPr>
        <w:pStyle w:val="Heading3"/>
      </w:pPr>
      <w:r>
        <w:rPr>
          <w:rFonts w:ascii="Times New Roman" w:hAnsi="Times New Roman"/>
        </w:rPr>
        <w:t>3.1 § 1 GüKG — Erlaubnispflicht</w:t>
      </w:r>
    </w:p>
    <w:p>
      <w:pPr>
        <w:jc w:val="left"/>
      </w:pPr>
      <w:r>
        <w:t>§ 1 Abs. 1 Satz 1 GüKG: "Der Unternehmer, der Güterverkehr mit Kraftfahrzeugen betreibt, bedarf einer Erlaubnis nach § 3 (nationale Genehmigung) oder einer EU-Gemeinschaftslizenz nach der Verordnung (EG) Nr. 1072/2009."</w:t>
      </w:r>
    </w:p>
    <w:p>
      <w:pPr>
        <w:jc w:val="left"/>
      </w:pPr>
      <w:r>
        <w:t>"Unternehmer" im Sinne dieser Vorschrift ist derjenige, der das Fahrzeug betreibt und die Güterbeförderung als eigene Leistung anbietet — also Cojocaru Flota SRL, nicht Schwarmstedt.</w:t>
      </w:r>
    </w:p>
    <w:p>
      <w:pPr>
        <w:pStyle w:val="Heading3"/>
      </w:pPr>
      <w:r>
        <w:rPr>
          <w:rFonts w:ascii="Times New Roman" w:hAnsi="Times New Roman"/>
        </w:rPr>
        <w:t>3.2 § 7a GüKG — Auftraggeberpflichten</w:t>
      </w:r>
    </w:p>
    <w:p>
      <w:pPr>
        <w:jc w:val="left"/>
      </w:pPr>
      <w:r>
        <w:t>§ 7a Abs. 2 Satz 1 GüKG: "Wer einen anderen mit der Beförderung von Gütern beauftragt, hat sich zu vergewissern, dass dieser die erforderliche Erlaubnis besitzt."</w:t>
      </w:r>
    </w:p>
    <w:p>
      <w:pPr>
        <w:jc w:val="left"/>
      </w:pPr>
      <w:r>
        <w:t>Diese Pflicht trifft Schwarmstedt im Verhältnis zu Petrescu Transport SRL (deren Lizenz war gültig) — nicht im Verhältnis zu Cojocaru Flota, die von Petrescu eigeninitiativ und ohne Wissen Schwarmstedts eingesetzt wurde.</w:t>
      </w:r>
    </w:p>
    <w:p>
      <w:pPr>
        <w:pStyle w:val="Heading3"/>
      </w:pPr>
      <w:r>
        <w:rPr>
          <w:rFonts w:ascii="Times New Roman" w:hAnsi="Times New Roman"/>
        </w:rPr>
        <w:t>3.3 Bußgeldkatalog BALM 2024</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Verstoßkategorie</w:t>
            </w:r>
          </w:p>
        </w:tc>
        <w:tc>
          <w:tcPr>
            <w:tcW w:type="dxa" w:w="3024"/>
          </w:tcPr>
          <w:p>
            <w:r>
              <w:rPr>
                <w:rFonts w:ascii="Times New Roman" w:hAnsi="Times New Roman"/>
                <w:b/>
                <w:sz w:val="20"/>
              </w:rPr>
              <w:t>Bußgeld Unternehmer</w:t>
            </w:r>
          </w:p>
        </w:tc>
        <w:tc>
          <w:tcPr>
            <w:tcW w:type="dxa" w:w="3024"/>
          </w:tcPr>
          <w:p>
            <w:r>
              <w:rPr>
                <w:rFonts w:ascii="Times New Roman" w:hAnsi="Times New Roman"/>
                <w:b/>
                <w:sz w:val="20"/>
              </w:rPr>
              <w:t>Bußgeld Fahrer</w:t>
            </w:r>
          </w:p>
        </w:tc>
      </w:tr>
      <w:tr>
        <w:tc>
          <w:tcPr>
            <w:tcW w:type="dxa" w:w="3024"/>
          </w:tcPr>
          <w:p>
            <w:r>
              <w:rPr>
                <w:rFonts w:ascii="Times New Roman" w:hAnsi="Times New Roman"/>
                <w:sz w:val="20"/>
              </w:rPr>
              <w:t>Betrieb ohne EU-Lizenz</w:t>
            </w:r>
          </w:p>
        </w:tc>
        <w:tc>
          <w:tcPr>
            <w:tcW w:type="dxa" w:w="3024"/>
          </w:tcPr>
          <w:p>
            <w:r>
              <w:rPr>
                <w:rFonts w:ascii="Times New Roman" w:hAnsi="Times New Roman"/>
                <w:sz w:val="20"/>
              </w:rPr>
              <w:t>bis 50.000 EUR</w:t>
            </w:r>
          </w:p>
        </w:tc>
        <w:tc>
          <w:tcPr>
            <w:tcW w:type="dxa" w:w="3024"/>
          </w:tcPr>
          <w:p>
            <w:r>
              <w:rPr>
                <w:rFonts w:ascii="Times New Roman" w:hAnsi="Times New Roman"/>
                <w:sz w:val="20"/>
              </w:rPr>
              <w:t>—</w:t>
            </w:r>
          </w:p>
        </w:tc>
      </w:tr>
      <w:tr>
        <w:tc>
          <w:tcPr>
            <w:tcW w:type="dxa" w:w="3024"/>
          </w:tcPr>
          <w:p>
            <w:r>
              <w:rPr>
                <w:rFonts w:ascii="Times New Roman" w:hAnsi="Times New Roman"/>
                <w:sz w:val="20"/>
              </w:rPr>
              <w:t>Weitervergabe ohne Lizenz des Subunternehmers</w:t>
            </w:r>
          </w:p>
        </w:tc>
        <w:tc>
          <w:tcPr>
            <w:tcW w:type="dxa" w:w="3024"/>
          </w:tcPr>
          <w:p>
            <w:r>
              <w:rPr>
                <w:rFonts w:ascii="Times New Roman" w:hAnsi="Times New Roman"/>
                <w:sz w:val="20"/>
              </w:rPr>
              <w:t>bis 50.000 EUR</w:t>
            </w:r>
          </w:p>
        </w:tc>
        <w:tc>
          <w:tcPr>
            <w:tcW w:type="dxa" w:w="3024"/>
          </w:tcPr>
          <w:p>
            <w:r>
              <w:rPr>
                <w:rFonts w:ascii="Times New Roman" w:hAnsi="Times New Roman"/>
                <w:sz w:val="20"/>
              </w:rPr>
              <w:t>—</w:t>
            </w:r>
          </w:p>
        </w:tc>
      </w:tr>
      <w:tr>
        <w:tc>
          <w:tcPr>
            <w:tcW w:type="dxa" w:w="3024"/>
          </w:tcPr>
          <w:p>
            <w:r>
              <w:rPr>
                <w:rFonts w:ascii="Times New Roman" w:hAnsi="Times New Roman"/>
                <w:sz w:val="20"/>
              </w:rPr>
              <w:t>Lenkzeit &gt;4,5h ohne Pause (bis 1h Überschreitung)</w:t>
            </w:r>
          </w:p>
        </w:tc>
        <w:tc>
          <w:tcPr>
            <w:tcW w:type="dxa" w:w="3024"/>
          </w:tcPr>
          <w:p>
            <w:r>
              <w:rPr>
                <w:rFonts w:ascii="Times New Roman" w:hAnsi="Times New Roman"/>
                <w:sz w:val="20"/>
              </w:rPr>
              <w:t>bis 500 EUR</w:t>
            </w:r>
          </w:p>
        </w:tc>
        <w:tc>
          <w:tcPr>
            <w:tcW w:type="dxa" w:w="3024"/>
          </w:tcPr>
          <w:p>
            <w:r>
              <w:rPr>
                <w:rFonts w:ascii="Times New Roman" w:hAnsi="Times New Roman"/>
                <w:sz w:val="20"/>
              </w:rPr>
              <w:t>bis 250 EUR</w:t>
            </w:r>
          </w:p>
        </w:tc>
      </w:tr>
      <w:tr>
        <w:tc>
          <w:tcPr>
            <w:tcW w:type="dxa" w:w="3024"/>
          </w:tcPr>
          <w:p>
            <w:r>
              <w:rPr>
                <w:rFonts w:ascii="Times New Roman" w:hAnsi="Times New Roman"/>
                <w:sz w:val="20"/>
              </w:rPr>
              <w:t>Lenkzeit &gt;4,5h ohne Pause (&gt;1h bis 2h Überschreitung)</w:t>
            </w:r>
          </w:p>
        </w:tc>
        <w:tc>
          <w:tcPr>
            <w:tcW w:type="dxa" w:w="3024"/>
          </w:tcPr>
          <w:p>
            <w:r>
              <w:rPr>
                <w:rFonts w:ascii="Times New Roman" w:hAnsi="Times New Roman"/>
                <w:sz w:val="20"/>
              </w:rPr>
              <w:t>bis 1.000 EUR</w:t>
            </w:r>
          </w:p>
        </w:tc>
        <w:tc>
          <w:tcPr>
            <w:tcW w:type="dxa" w:w="3024"/>
          </w:tcPr>
          <w:p>
            <w:r>
              <w:rPr>
                <w:rFonts w:ascii="Times New Roman" w:hAnsi="Times New Roman"/>
                <w:sz w:val="20"/>
              </w:rPr>
              <w:t>bis 500 EUR</w:t>
            </w:r>
          </w:p>
        </w:tc>
      </w:tr>
    </w:tbl>
    <w:p>
      <w:pPr>
        <w:jc w:val="left"/>
      </w:pPr>
      <w:r>
        <w:t>Im vorliegenden Fall: Lenkzeitüberschreitung von 1 Std. 18 Min. → Bußgeldrahmen für Unternehmer bis 1.000 EUR. Das BALM hat Petrescu Transport SRL gesondert verfolgt (rumänisches Verfahren); gegen Schwarmstedt wurde nur OWi 1 mit 25.000 EUR verhängt.</w:t>
      </w:r>
    </w:p>
    <w:p/>
    <w:p>
      <w:pPr>
        <w:pStyle w:val="Heading2"/>
      </w:pPr>
      <w:r>
        <w:rPr>
          <w:rFonts w:ascii="Times New Roman" w:hAnsi="Times New Roman"/>
        </w:rPr>
        <w:t>4. Schlüsselrechtsprechung</w:t>
      </w:r>
    </w:p>
    <w:p>
      <w:pPr>
        <w:jc w:val="left"/>
      </w:pPr>
      <w:r>
        <w:rPr>
          <w:b/>
        </w:rPr>
        <w:t>OLG Celle, Beschl. v. 14.07.2020 — 2 Ss (OWi) 123/20:</w:t>
      </w:r>
      <w:r>
        <w:t xml:space="preserve"> Auftraggeber haftet nur für eigene Verstöße gegen GüKG, nicht für eigenverantwortliche Pflichtverletzungen des Subunternehmers, die er nicht kannte und nicht kontrollieren konnte. (Hier einschlägig!)</w:t>
      </w:r>
    </w:p>
    <w:p>
      <w:pPr>
        <w:jc w:val="left"/>
      </w:pPr>
      <w:r>
        <w:rPr>
          <w:b/>
        </w:rPr>
        <w:t>OLG Hamm, Beschl. v. 05.09.2019 — 4 RBs 388/19:</w:t>
      </w:r>
      <w:r>
        <w:t xml:space="preserve"> § 7a GüKG begründet eine Prüfpflicht bei Auftragsvergabe, nicht aber eine laufende Überwachungspflicht jeder Subvergabe durch den Subunternehmer.</w:t>
      </w:r>
    </w:p>
    <w:p>
      <w:pPr>
        <w:jc w:val="left"/>
      </w:pPr>
      <w:r>
        <w:rPr>
          <w:b/>
        </w:rPr>
        <w:t>BGH, Urt. v. 25.03.2021 — I ZR 252/19, NJW 2021, 2284:</w:t>
      </w:r>
      <w:r>
        <w:t xml:space="preserve"> Zum Umfang der Kontrollpflichten bei Subfrachtführern im internationalen Transport — Auftraggeber genügt seiner Sorgfaltspflicht, wenn er den Subunternehmer anhand der EU-Lizenz überprüft und die Einhaltung vertraglich vereinbart.</w:t>
      </w:r>
    </w:p>
    <w:p/>
    <w:p>
      <w:pPr>
        <w:pStyle w:val="Heading2"/>
      </w:pPr>
      <w:r>
        <w:rPr>
          <w:rFonts w:ascii="Times New Roman" w:hAnsi="Times New Roman"/>
        </w:rPr>
        <w:t>5. Verfahrensstand und Kosten</w:t>
      </w:r>
    </w:p>
    <w:p>
      <w:pPr>
        <w:jc w:val="left"/>
      </w:pPr>
      <w:r>
        <w:t>Einspruch eingelegt: 13. März 2026</w:t>
      </w:r>
    </w:p>
    <w:p>
      <w:pPr>
        <w:jc w:val="left"/>
      </w:pPr>
      <w:r>
        <w:t>Aktenzeichen AG Hannover: OWi 31a OWi 4188 Js 7711/26</w:t>
      </w:r>
    </w:p>
    <w:p>
      <w:pPr>
        <w:jc w:val="left"/>
      </w:pPr>
      <w:r>
        <w:t>Zuständiger Richter: noch nicht mitgeteilt</w:t>
      </w:r>
    </w:p>
    <w:p>
      <w:pPr>
        <w:jc w:val="left"/>
      </w:pPr>
      <w:r>
        <w:t>Termin mündliche Verhandlung: in Kürze zu erwarten, voraussichtlich Mai/Juni 2026</w:t>
      </w:r>
    </w:p>
    <w:p>
      <w:pPr>
        <w:jc w:val="left"/>
      </w:pPr>
      <w:r>
        <w:t>Kostenrisiko bei Verurteilung: 25.000 EUR Bußgeld + Verfahrenskosten ca. 2.000 EUR</w:t>
      </w:r>
    </w:p>
    <w:p>
      <w:pPr>
        <w:jc w:val="left"/>
      </w:pPr>
      <w:r>
        <w:t>Erfolgschance Einspruch: 70–75 % (Hauptargument: fehlende eigene Handlung von Schwarmstedt)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