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Embargo-Verstoß — Syrien-Sanktionen / Zollfahndung Hannover</w:t>
      </w:r>
    </w:p>
    <w:p>
      <w:pPr>
        <w:jc w:val="left"/>
      </w:pPr>
      <w:r>
        <w:t>Akte: StA Hannover 9300 UJs 21188/26 (Ermittlungsverfahren)</w:t>
      </w:r>
    </w:p>
    <w:p>
      <w:pPr>
        <w:jc w:val="left"/>
      </w:pPr>
      <w:r>
        <w:t>Verfasserin: RAin Dr. Antonia Hammerschmidt</w:t>
      </w:r>
    </w:p>
    <w:p>
      <w:pPr>
        <w:jc w:val="left"/>
      </w:pPr>
      <w:r>
        <w:t>Stand: 05. April 2026</w:t>
      </w:r>
    </w:p>
    <w:p/>
    <w:p>
      <w:pPr>
        <w:pStyle w:val="Heading2"/>
      </w:pPr>
      <w:r>
        <w:rPr>
          <w:rFonts w:ascii="Times New Roman" w:hAnsi="Times New Roman"/>
        </w:rPr>
        <w:t>1. Sachverhalt</w:t>
      </w:r>
    </w:p>
    <w:p>
      <w:pPr>
        <w:pStyle w:val="Heading3"/>
      </w:pPr>
      <w:r>
        <w:rPr>
          <w:rFonts w:ascii="Times New Roman" w:hAnsi="Times New Roman"/>
        </w:rPr>
        <w:t>1.1 Der Transport</w:t>
      </w:r>
    </w:p>
    <w:p>
      <w:pPr>
        <w:jc w:val="left"/>
      </w:pPr>
      <w:r>
        <w:t>Im Dezember 2025 führte die Schwarmstedt Logistik GmbH einen Sammeltransport durch. Die Sendung enthielt u.a. 40 Paletten Generika-Antibiotika (Wirkstoff: Amoxicillin/Clavulansäure, 500mg Tabletten, Hersteller: Gintec Generics GmbH, Dortmund), bestimmt für die Iberische Pharmadistribution S.L. (Madrid, Spanien). Der CMR-Frachtbrief (Nr. CMR-2025-DE-447-0089) weist als Empfänger die Iberische Pharmadistribution S.L. aus.</w:t>
      </w:r>
    </w:p>
    <w:p>
      <w:pPr>
        <w:jc w:val="left"/>
      </w:pPr>
      <w:r>
        <w:t>Nach Erkenntnissen des Zollfahndungsamts Hannover wurde ein Teil der Sendung (nach bisherigen Erkenntnissen: 8 Paletten, ca. 192.000 Tabletten) im Wege einer undokumentierten Umlenkung in Madrid über einen Zwischenhändler (Karam Trading LLC, angeblich Dubai-basiert) letztlich an einen syrischen Empfänger geliefert, der auf der EU-Sanktionsliste nach Anhang I der Verordnung (EU) Nr. 36/2012 des Rates (Syrien-Sanktionsverordnung) gelistet ist.</w:t>
      </w:r>
    </w:p>
    <w:p>
      <w:pPr>
        <w:pStyle w:val="Heading3"/>
      </w:pPr>
      <w:r>
        <w:rPr>
          <w:rFonts w:ascii="Times New Roman" w:hAnsi="Times New Roman"/>
        </w:rPr>
        <w:t>1.2 Ermittlungsverfahren</w:t>
      </w:r>
    </w:p>
    <w:p>
      <w:pPr>
        <w:jc w:val="left"/>
      </w:pPr>
      <w:r>
        <w:t>Das Zollfahndungsamt Hannover (ZFA HAN) hat am 14. Februar 2026 ein Ermittlungsverfahren gegen Unbekannt eingeleitet. Mit Schreiben vom 01. März 2026 wurde Schwarmstedt Logistik GmbH als Beschuldigter in das Verfahren einbezogen (StA Hannover 9300 UJs 21188/26). Vorwurf: vorsätzlicher oder fahrlässiger Verstoß gegen Art. 2 Abs. 1 lit. a VO (EU) 36/2012 i.V.m. §§ 18 Abs. 1, 17 AWG (Außenwirtschaftsgesetz).</w:t>
      </w:r>
    </w:p>
    <w:p/>
    <w:p>
      <w:pPr>
        <w:pStyle w:val="Heading2"/>
      </w:pPr>
      <w:r>
        <w:rPr>
          <w:rFonts w:ascii="Times New Roman" w:hAnsi="Times New Roman"/>
        </w:rPr>
        <w:t>2. Rechtliche Grundlagen</w:t>
      </w:r>
    </w:p>
    <w:p>
      <w:pPr>
        <w:pStyle w:val="Heading3"/>
      </w:pPr>
      <w:r>
        <w:rPr>
          <w:rFonts w:ascii="Times New Roman" w:hAnsi="Times New Roman"/>
        </w:rPr>
        <w:t>2.1 VO (EU) 36/2012 — Syrien-Sanktionsverordnung</w:t>
      </w:r>
    </w:p>
    <w:p>
      <w:pPr>
        <w:jc w:val="left"/>
      </w:pPr>
      <w:r>
        <w:t>Die Verordnung (EU) Nr. 36/2012 des Rates vom 18. Januar 2012 über restriktive Maßnahmen angesichts der Lage in Syrien enthält in Art. 2 Abs. 1:</w:t>
      </w:r>
    </w:p>
    <w:p>
      <w:pPr>
        <w:ind w:left="567"/>
      </w:pPr>
      <w:r>
        <w:rPr>
          <w:i/>
        </w:rPr>
        <w:t>"Es ist verboten, Güter und Technologien, die in Anhang I aufgeführt sind, unmittelbar oder mittelbar an natürliche oder juristische Personen, Organisationen oder Einrichtungen in Syrien oder zur Verwendung in Syrien zu liefern, zu verkaufen, weiterzugeben oder auszuführen."</w:t>
      </w:r>
    </w:p>
    <w:p>
      <w:pPr>
        <w:jc w:val="left"/>
      </w:pPr>
      <w:r>
        <w:t xml:space="preserve">Medizinische Güter (einschließlich Arzneimittel) sind grundsätzlich in Anhang IX VO 36/2012 von den Beschränkungen ausgenommen (humanitäre Ausnahme). </w:t>
      </w:r>
      <w:r>
        <w:rPr>
          <w:b/>
        </w:rPr>
        <w:t>Jedoch:</w:t>
      </w:r>
      <w:r>
        <w:t xml:space="preserve"> Wenn der Empfänger auf der Sanktionsliste nach Anhang I VO (EU) 36/2012 steht (Personen, Organisationen und Einrichtungen, die mit der Assad-Regierung verbunden sind oder als Terroristen gelistet sind), gilt das Bereitstellungsverbot aus Art. 14 ff. VO 36/2012 auch für an sich erlaubnisfreie Güter.</w:t>
      </w:r>
    </w:p>
    <w:p>
      <w:pPr>
        <w:pStyle w:val="Heading3"/>
      </w:pPr>
      <w:r>
        <w:rPr>
          <w:rFonts w:ascii="Times New Roman" w:hAnsi="Times New Roman"/>
        </w:rPr>
        <w:t>2.2 § 18 AWG — Straftatbestand</w:t>
      </w:r>
    </w:p>
    <w:p>
      <w:pPr>
        <w:jc w:val="left"/>
      </w:pPr>
      <w:r>
        <w:t>§ 18 Abs. 1 AWG: "Mit Freiheitsstrafe bis zu fünf Jahren oder mit Geldstrafe wird bestraft, wer einer im Bundesanzeiger bekannt gemachten vollziehbaren Anordnung einer Behörde zuwiderhandelt, die auf Grund einer Rechtsvorschrift ergangen ist, die [...] ein Bereitstellungsverbot enthält."</w:t>
      </w:r>
    </w:p>
    <w:p>
      <w:pPr>
        <w:jc w:val="left"/>
      </w:pPr>
      <w:r>
        <w:t>§ 17 AWG: "Mit Freiheitsstrafe von drei Monaten bis zu fünf Jahren wird bestraft, wer [...] eine im Amtsblatt der Europäischen Union bekannt gemachte Verbotsvorschrift im Bereich der restriktiven Maßnahmen (§ 2 Abs. 15) [...] zuwiderhandelt."</w:t>
      </w:r>
    </w:p>
    <w:p>
      <w:pPr>
        <w:pStyle w:val="Heading3"/>
      </w:pPr>
      <w:r>
        <w:rPr>
          <w:rFonts w:ascii="Times New Roman" w:hAnsi="Times New Roman"/>
        </w:rPr>
        <w:t>2.3 Fahrlässigkeitsstrafbarkeit</w:t>
      </w:r>
    </w:p>
    <w:p>
      <w:pPr>
        <w:jc w:val="left"/>
      </w:pPr>
      <w:r>
        <w:t>§ 19 AWG sieht auch fahrlässige Verstöße als Straftat vor (Freiheitsstrafe bis zu 2 Jahre oder Geldstrafe). Für Schwarmstedt Logistik GmbH und Eberhard Funkbruch als GF ist insbesondere zu prüfen, ob:</w:t>
      </w:r>
    </w:p>
    <w:p>
      <w:pPr>
        <w:pStyle w:val="ListBullet"/>
      </w:pPr>
      <w:r>
        <w:t>Sie Kenntnis vom Endbegünstigten hatten (Vorsatz)</w:t>
      </w:r>
    </w:p>
    <w:p>
      <w:pPr>
        <w:pStyle w:val="ListBullet"/>
      </w:pPr>
      <w:r>
        <w:t>Sie Kenntnis hätten haben können und müssen (Fahrlässigkeit: Compliance-Pflichten)</w:t>
      </w:r>
    </w:p>
    <w:p/>
    <w:p>
      <w:pPr>
        <w:pStyle w:val="Heading2"/>
      </w:pPr>
      <w:r>
        <w:rPr>
          <w:rFonts w:ascii="Times New Roman" w:hAnsi="Times New Roman"/>
        </w:rPr>
        <w:t>3. Compliance-Situation bei Schwarmstedt</w:t>
      </w:r>
    </w:p>
    <w:p>
      <w:pPr>
        <w:pStyle w:val="Heading3"/>
      </w:pPr>
      <w:r>
        <w:rPr>
          <w:rFonts w:ascii="Times New Roman" w:hAnsi="Times New Roman"/>
        </w:rPr>
        <w:t>3.1 Ist Schwarmstedt verpflichtet, Endempfänger zu überprüfen?</w:t>
      </w:r>
    </w:p>
    <w:p>
      <w:pPr>
        <w:jc w:val="left"/>
      </w:pPr>
      <w:r>
        <w:t>Als Frachtführer — nicht als Exporteur — ist Schwarmstedt nach dem AWG grundsätzlich nicht Normadressat der Ausfuhrkontrolle. Die Exportkontrollpflichten (§ 1 AWG i.V.m. EG-Dual-Use-Verordnung VO (EG) 428/2009, neu: VO (EU) 2021/821) treffen primär den Exporteur/Ausführer.</w:t>
      </w:r>
    </w:p>
    <w:p>
      <w:pPr>
        <w:jc w:val="left"/>
      </w:pPr>
      <w:r>
        <w:rPr>
          <w:b/>
        </w:rPr>
        <w:t>Jedoch:</w:t>
      </w:r>
      <w:r>
        <w:t xml:space="preserve"> Das Bereitstellungsverbot nach VO (EU) 36/2012 gilt für </w:t>
      </w:r>
      <w:r>
        <w:rPr>
          <w:b/>
        </w:rPr>
        <w:t>jedermann</w:t>
      </w:r>
      <w:r>
        <w:t xml:space="preserve"> in der EU, also auch für Spediteure und Frachtführer. Wenn der Frachtführer Kenntnis davon hat, dass Güter an einen Sanktionierten geliefert werden sollen, und er die Beförderung trotzdem durchführt, macht er sich nach § 17 AWG strafbar.</w:t>
      </w:r>
    </w:p>
    <w:p>
      <w:pPr>
        <w:pStyle w:val="Heading3"/>
      </w:pPr>
      <w:r>
        <w:rPr>
          <w:rFonts w:ascii="Times New Roman" w:hAnsi="Times New Roman"/>
        </w:rPr>
        <w:t>3.2 Due-Diligence-Pflichten</w:t>
      </w:r>
    </w:p>
    <w:p>
      <w:pPr>
        <w:jc w:val="left"/>
      </w:pPr>
      <w:r>
        <w:rPr>
          <w:b/>
        </w:rPr>
        <w:t>Prüfungspflichten nach AVB-Sanktionsmuster (GDV 2019):</w:t>
      </w:r>
      <w:r>
        <w:t xml:space="preserve"> Für Spediteure mit einem erheblichen Anteil internationaler Transporte empfehlen die Branchenverbände (DSLV, BITKOM Compliance-Leitfaden) die Einführung von Sanktionslisten-Screenings. Schwarmstedt hat nach Angabe Funkbruchs </w:t>
      </w:r>
      <w:r>
        <w:rPr>
          <w:b/>
        </w:rPr>
        <w:t>kein automatisiertes Sanktionslisten-Screening</w:t>
      </w:r>
      <w:r>
        <w:t xml:space="preserve"> eingeführt. Das ist für ein Unternehmen mit 38 Mio. EUR Umsatz im internationalen Verkehr ein Compliance-Defizit.</w:t>
      </w:r>
    </w:p>
    <w:p>
      <w:pPr>
        <w:jc w:val="left"/>
      </w:pPr>
      <w:r>
        <w:rPr>
          <w:b/>
        </w:rPr>
        <w:t>KYC (Know Your Customer):</w:t>
      </w:r>
      <w:r>
        <w:t xml:space="preserve"> Schwarmstedt hat den Absender (Gintec Generics GmbH, Dortmund) als Stammkunden; den Empfänger (Iberische Pharmadistribution S.L.) hat Schwarmstedt nicht vertieft überprüft. Die Umleitung über Karam Trading LLC war für Schwarmstedt nicht erkennbar.</w:t>
      </w:r>
    </w:p>
    <w:p>
      <w:pPr>
        <w:pStyle w:val="Heading3"/>
      </w:pPr>
      <w:r>
        <w:rPr>
          <w:rFonts w:ascii="Times New Roman" w:hAnsi="Times New Roman"/>
        </w:rPr>
        <w:t>3.3 Strafbarkeitsrisiko für Geschäftsführer Funkbruch</w:t>
      </w:r>
    </w:p>
    <w:p>
      <w:pPr>
        <w:jc w:val="left"/>
      </w:pPr>
      <w:r>
        <w:t>Strafrechtlicher Vorwurf gegen Funkbruch (natürliche Person):</w:t>
      </w:r>
    </w:p>
    <w:p>
      <w:pPr>
        <w:pStyle w:val="ListBullet"/>
      </w:pPr>
      <w:r>
        <w:t>Vorsatz: Kein Anhaltspunkt für Kenntnisnahme</w:t>
      </w:r>
    </w:p>
    <w:p>
      <w:pPr>
        <w:pStyle w:val="ListBullet"/>
      </w:pPr>
      <w:r>
        <w:t>Fahrlässigkeit: Möglich wegen fehlender Compliance-Struktur</w:t>
      </w:r>
    </w:p>
    <w:p>
      <w:pPr>
        <w:pStyle w:val="ListBullet"/>
      </w:pPr>
      <w:r>
        <w:t>Ergebnis: Fahrlässiger Verstoß nach § 19 AWG als realistische Möglichkeit, wenn Gerichte im internationalen Pharmabereich erhöhte Sorgfaltspflichten annehmen</w:t>
      </w:r>
    </w:p>
    <w:p>
      <w:pPr>
        <w:jc w:val="left"/>
      </w:pPr>
      <w:r>
        <w:rPr>
          <w:b/>
        </w:rPr>
        <w:t>Empfehlung:</w:t>
      </w:r>
      <w:r>
        <w:t xml:space="preserve"> Sofortige Einrichtung eines Sanktionslisten-Screenings; Kooperation mit der StA Hannover; umgehende Selbstanzeige prüfen (kann strafmildernd wirken).</w:t>
      </w:r>
    </w:p>
    <w:p/>
    <w:p>
      <w:pPr>
        <w:pStyle w:val="Heading2"/>
      </w:pPr>
      <w:r>
        <w:rPr>
          <w:rFonts w:ascii="Times New Roman" w:hAnsi="Times New Roman"/>
        </w:rPr>
        <w:t>4. Unternehmensstrafe / Verbandsgeldbuße</w:t>
      </w:r>
    </w:p>
    <w:p>
      <w:pPr>
        <w:jc w:val="left"/>
      </w:pPr>
      <w:r>
        <w:t>Nach § 30 OWiG kann gegen Schwarmstedt Logistik GmbH (Rechtsträger) eine Verbandsgeldbuße verhängt werden, wenn Funkbruch als gesetzlicher Vertreter eine Straftat oder Ordnungswidrigkeit begangen hat, durch die Pflichten der GmbH verletzt worden sind.</w:t>
      </w:r>
    </w:p>
    <w:p>
      <w:pPr>
        <w:jc w:val="left"/>
      </w:pPr>
      <w:r>
        <w:t>Bußgeldrahmen nach § 30 Abs. 2 Satz 1 Nr. 1 OWiG (bei vorsätzlicher Straftat): bis zu 10 Mio. EUR.</w:t>
      </w:r>
    </w:p>
    <w:p>
      <w:pPr>
        <w:jc w:val="left"/>
      </w:pPr>
      <w:r>
        <w:t>Bußgeldrahmen bei fahrlässiger Ordnungswidrigkeit: bis zu 5 Mio. EUR.</w:t>
      </w:r>
    </w:p>
    <w:p/>
    <w:p>
      <w:pPr>
        <w:pStyle w:val="Heading2"/>
      </w:pPr>
      <w:r>
        <w:rPr>
          <w:rFonts w:ascii="Times New Roman" w:hAnsi="Times New Roman"/>
        </w:rPr>
        <w:t>5. Verfahrensstand und Strategie</w:t>
      </w:r>
    </w:p>
    <w:p>
      <w:pPr>
        <w:pStyle w:val="Heading3"/>
      </w:pPr>
      <w:r>
        <w:rPr>
          <w:rFonts w:ascii="Times New Roman" w:hAnsi="Times New Roman"/>
        </w:rPr>
        <w:t>5.1 Aktuelle Maßnahmen</w:t>
      </w:r>
    </w:p>
    <w:p>
      <w:pPr>
        <w:pStyle w:val="ListBullet"/>
      </w:pPr>
      <w:r>
        <w:t>[ ] Anmeldung als Verteidiger StA Hannover (RAin Dr. Hammerschmidt), erfolgt 05. April 2026</w:t>
      </w:r>
    </w:p>
    <w:p>
      <w:pPr>
        <w:pStyle w:val="ListBullet"/>
      </w:pPr>
      <w:r>
        <w:t>[ ] Akteneinsichtsantrag StA Hannover: gestellt 05. April 2026</w:t>
      </w:r>
    </w:p>
    <w:p>
      <w:pPr>
        <w:pStyle w:val="ListBullet"/>
      </w:pPr>
      <w:r>
        <w:t>[ ] Anweisung Kooperationspflicht an Funkbruch: keine Äußerungen ohne Rücksprache mit Kanzlei</w:t>
      </w:r>
    </w:p>
    <w:p>
      <w:pPr>
        <w:pStyle w:val="ListBullet"/>
      </w:pPr>
      <w:r>
        <w:t>[ ] Interne Compliance-Analyse: Welche Dokumente hat Schwarmstedt zu dem Transport?</w:t>
      </w:r>
    </w:p>
    <w:p>
      <w:pPr>
        <w:pStyle w:val="ListBullet"/>
      </w:pPr>
      <w:r>
        <w:t>[ ] Prüfung Selbstanzeigemöglichkeit AWG</w:t>
      </w:r>
    </w:p>
    <w:p>
      <w:pPr>
        <w:pStyle w:val="Heading3"/>
      </w:pPr>
      <w:r>
        <w:rPr>
          <w:rFonts w:ascii="Times New Roman" w:hAnsi="Times New Roman"/>
        </w:rPr>
        <w:t>5.2 Verteidigungsstrategie (vorläufig)</w:t>
      </w:r>
    </w:p>
    <w:p>
      <w:pPr>
        <w:jc w:val="left"/>
      </w:pPr>
      <w:r>
        <w:rPr>
          <w:b/>
        </w:rPr>
        <w:t>Primär:</w:t>
      </w:r>
      <w:r>
        <w:t xml:space="preserve"> Schwarmstedt und Funkbruch hatten keine Kenntnis von der Umleitung an den sanktionierten Empfänger. Die Umlenkung erfolgte durch die Iberische Pharmadistribution S.L. und Karam Trading LLC — außerhalb des Einflussbereichs von Schwarmstedt.</w:t>
      </w:r>
    </w:p>
    <w:p>
      <w:pPr>
        <w:jc w:val="left"/>
      </w:pPr>
      <w:r>
        <w:rPr>
          <w:b/>
        </w:rPr>
        <w:t>Sekundär:</w:t>
      </w:r>
      <w:r>
        <w:t xml:space="preserve"> Als Frachtführer, nicht als Exporteur, bestand keine rechtliche Pflicht zu einem vertieften Sanktionslisten-Screening des Endempfängers.</w:t>
      </w:r>
    </w:p>
    <w:p>
      <w:pPr>
        <w:jc w:val="left"/>
      </w:pPr>
      <w:r>
        <w:rPr>
          <w:b/>
        </w:rPr>
        <w:t>Tertiiär (strafmildernd):</w:t>
      </w:r>
      <w:r>
        <w:t xml:space="preserve"> Volle Kooperation mit der StA Hannover; unverzügliche Einführung eines Compliance-Systems nach Bekanntwerden.</w:t>
      </w:r>
    </w:p>
    <w:p/>
    <w:p>
      <w:pPr>
        <w:pStyle w:val="Heading2"/>
      </w:pPr>
      <w:r>
        <w:rPr>
          <w:rFonts w:ascii="Times New Roman" w:hAnsi="Times New Roman"/>
        </w:rPr>
        <w:t>6. Zollfahndung — Koordination</w:t>
      </w:r>
    </w:p>
    <w:p>
      <w:pPr>
        <w:jc w:val="left"/>
      </w:pPr>
      <w:r>
        <w:t>Zollfahndungsamt Hannover hat angekündigt, Unterlagen aus dem Betrieb von Schwarmstedt (Transportdokumente, CMR-Frachtbrief, Frachtbriefkopien) anzufordern. Schwarmstedt ist nicht verpflichtet, selbstbelastende Dokumente herauszugeben (nemo tenetur). Neutrale Dokumente (z.B. Frachtbriefkopien, die keine Schuld begründen) können freiwillig herausgegeben werden, um Kooperation zu demonstrieren.</w:t>
      </w:r>
    </w:p>
    <w:p>
      <w:pPr>
        <w:jc w:val="left"/>
      </w:pPr>
      <w:r>
        <w:rPr>
          <w:b/>
        </w:rPr>
        <w:t>Hinweis für Mandanten:</w:t>
      </w:r>
      <w:r>
        <w:t xml:space="preserve"> Keine eigenmächtige Kommunikation mit ZFA Hannover. Alle Anfragen über die Kanzlei leiten.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