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Sachverständigengutachten Prof. Dr. Kretschmann — Zusammenfassung und Analyse</w:t>
      </w:r>
    </w:p>
    <w:p>
      <w:pPr>
        <w:jc w:val="left"/>
      </w:pPr>
      <w:r>
        <w:t>Akte: LG Hannover 9 O 244/26</w:t>
      </w:r>
    </w:p>
    <w:p>
      <w:pPr>
        <w:jc w:val="left"/>
      </w:pPr>
      <w:r>
        <w:t>Sachverständiger: Prof. Dr.-Ing. Horst Kretschmann, TU Hamburg-Harburg, Institut für Kühltechnik und Thermodynamik</w:t>
      </w:r>
    </w:p>
    <w:p>
      <w:pPr>
        <w:jc w:val="left"/>
      </w:pPr>
      <w:r>
        <w:t>Gutachtenreferenz: TUH-KT-2026-0088 (Vorläufig)</w:t>
      </w:r>
    </w:p>
    <w:p>
      <w:pPr>
        <w:jc w:val="left"/>
      </w:pPr>
      <w:r>
        <w:t>Datum: 22. März 2026 (mündliche Zusammenfassung), Schriftliches Gutachten erwartet: 30. April 2026</w:t>
      </w:r>
    </w:p>
    <w:p>
      <w:pPr>
        <w:jc w:val="left"/>
      </w:pPr>
      <w:r>
        <w:t>Verfasserin: RAin Dr. Antonia Hammerschmidt</w:t>
      </w:r>
    </w:p>
    <w:p/>
    <w:p>
      <w:pPr>
        <w:pStyle w:val="Heading2"/>
      </w:pPr>
      <w:r>
        <w:rPr>
          <w:rFonts w:ascii="Times New Roman" w:hAnsi="Times New Roman"/>
        </w:rPr>
        <w:t>1. Beauftragung</w:t>
      </w:r>
    </w:p>
    <w:p>
      <w:pPr>
        <w:jc w:val="left"/>
      </w:pPr>
      <w:r>
        <w:t>RAin Dr. Hammerschmidt hat Prof. Dr. Kretschmann am 20. März 2026 mit der gutachterlichen Beurteilung folgender Fragen beauftragt:</w:t>
      </w:r>
    </w:p>
    <w:p>
      <w:pPr>
        <w:pStyle w:val="ListNumber"/>
      </w:pPr>
      <w:r>
        <w:t>Was war die wahrscheinliche Ursache des Temperaturanstiegs zwischen 03:18 Uhr und 03:54 Uhr am 14. Januar 2026?</w:t>
      </w:r>
    </w:p>
    <w:p>
      <w:pPr>
        <w:pStyle w:val="ListNumber"/>
      </w:pPr>
      <w:r>
        <w:t>War die Temperaturbegrenzungsfunktion des DataTrack 4000 (DT4-2025-7783) betriebsbereit? Warum wurde kein Alarm ausgelöst?</w:t>
      </w:r>
    </w:p>
    <w:p>
      <w:pPr>
        <w:pStyle w:val="ListNumber"/>
      </w:pPr>
      <w:r>
        <w:t>Welche Innentemperatur haben die Sartorius SarBox Kryogen Compact 2.5 Versandboxen während der Laderaumtemperaturüberschreitung erfahren?</w:t>
      </w:r>
    </w:p>
    <w:p>
      <w:pPr>
        <w:pStyle w:val="ListNumber"/>
      </w:pPr>
      <w:r>
        <w:t>Waren alle 95 von MediVita SE als unbrauchbar eingestuften Vials tatsächlich temperaturgeschädigt?</w:t>
      </w:r>
    </w:p>
    <w:p>
      <w:pPr>
        <w:pStyle w:val="ListNumber"/>
      </w:pPr>
      <w:r>
        <w:t>Hätte eine kontinuierliche Fahrerüberwachung (z.B. stündliche Kontrolle) den Schaden verhindert oder vermindert?</w:t>
      </w:r>
    </w:p>
    <w:p/>
    <w:p>
      <w:pPr>
        <w:pStyle w:val="Heading2"/>
      </w:pPr>
      <w:r>
        <w:rPr>
          <w:rFonts w:ascii="Times New Roman" w:hAnsi="Times New Roman"/>
        </w:rPr>
        <w:t>2. Ergebnisse des Vorläufigen Gutachtens</w:t>
      </w:r>
    </w:p>
    <w:p>
      <w:pPr>
        <w:pStyle w:val="Heading3"/>
      </w:pPr>
      <w:r>
        <w:rPr>
          <w:rFonts w:ascii="Times New Roman" w:hAnsi="Times New Roman"/>
        </w:rPr>
        <w:t>2.1 Ursache des Temperaturanstiegs (Frage 1)</w:t>
      </w:r>
    </w:p>
    <w:p>
      <w:pPr>
        <w:jc w:val="left"/>
      </w:pPr>
      <w:r>
        <w:rPr>
          <w:b/>
        </w:rPr>
        <w:t>Befund (vorläufig):</w:t>
      </w:r>
    </w:p>
    <w:p>
      <w:pPr>
        <w:jc w:val="left"/>
      </w:pPr>
      <w:r>
        <w:t>Kretschmann analysierte die DataTrack 4000-Rohdaten und stellte folgendes Profil fest: Der Anstieg ab 03:18 Uhr ist "nicht typisch für einen passiven Wärmeeintrag durch Türöffnung oder Außenwärme. Der Anstieg ist zu steil (5,8°C in 23 Minuten) und der Abfall zu abrupt (6,4°C in 13 Minuten), um durch rein passive Wärmeübertragung erklärbar zu sein."</w:t>
      </w:r>
    </w:p>
    <w:p>
      <w:pPr>
        <w:jc w:val="left"/>
      </w:pPr>
      <w:r>
        <w:t>Kretschmanns Schlussfolgerung: "Mit einer Wahrscheinlichkeit von 70–80% liegt ein kurzzeitiger Betriebsausfall des Carrier-Kühlaggregats vor. Ein Electronic Control Module (ECM)-Reset oder ein Sicherungsausfall am Aggregat kann solche Temperaturprofile erzeugen. Zur Bestätigung ist das Aggregatprotokoll des Carrier-Systems (internes Fehlerlog) auszuwerten."</w:t>
      </w:r>
    </w:p>
    <w:p>
      <w:pPr>
        <w:jc w:val="left"/>
      </w:pPr>
      <w:r>
        <w:rPr>
          <w:b/>
        </w:rPr>
        <w:t>Carrier Transicold-Protokoll:</w:t>
      </w:r>
      <w:r>
        <w:t xml:space="preserve"> Das Kühlaggregat des Aufliegers (Carrier Transicold Supra 550 U, Seriennummer CT-2024-5003121) verfügt über ein internes Fehlerprotokoll (Carrier "eTrack" System). Petrescu Transport SRL wurde aufgefordert, den eTrack-Export vorzulegen. Ergebnis steht noch aus.</w:t>
      </w:r>
    </w:p>
    <w:p>
      <w:pPr>
        <w:pStyle w:val="Heading3"/>
      </w:pPr>
      <w:r>
        <w:rPr>
          <w:rFonts w:ascii="Times New Roman" w:hAnsi="Times New Roman"/>
        </w:rPr>
        <w:t>2.2 DataTrack 4000 — Alarmversagen (Frage 2)</w:t>
      </w:r>
    </w:p>
    <w:p>
      <w:pPr>
        <w:jc w:val="left"/>
      </w:pPr>
      <w:r>
        <w:rPr>
          <w:b/>
        </w:rPr>
        <w:t>Befund (vorläufig):</w:t>
      </w:r>
    </w:p>
    <w:p>
      <w:pPr>
        <w:jc w:val="left"/>
      </w:pPr>
      <w:r>
        <w:t>Nach telefonischer Auskunft des DataTrack-Herstellers (ELPRO-BUCHS AG, Schweiz) kann das DataTrack 4000 unter folgenden Umständen keinen SMS-Alarm versenden:</w:t>
      </w:r>
    </w:p>
    <w:p>
      <w:pPr>
        <w:pStyle w:val="ListBullet"/>
      </w:pPr>
      <w:r>
        <w:t>GSM-Signalstärke unter -90 dBm (kein ausreichendes Netz)</w:t>
      </w:r>
    </w:p>
    <w:p>
      <w:pPr>
        <w:pStyle w:val="ListBullet"/>
      </w:pPr>
      <w:r>
        <w:t>SIM-Karte inaktiv oder mit Roaming-Einschränkungen</w:t>
      </w:r>
    </w:p>
    <w:p>
      <w:pPr>
        <w:pStyle w:val="ListBullet"/>
      </w:pPr>
      <w:r>
        <w:t>Interne Firmware-Fehler (bekannter Bug in Firmware 3.1.4, gefixt in 3.1.6)</w:t>
      </w:r>
    </w:p>
    <w:p>
      <w:pPr>
        <w:jc w:val="left"/>
      </w:pPr>
      <w:r>
        <w:t>Kretschmann hat bei der Betreiberfirma (Petrescu Transport SRL) angefragt, welche DataTrack-Firmware auf dem Gerät DT4-2025-7783 installiert war. Petrescu Transport SRL hat noch nicht geantwortet.</w:t>
      </w:r>
    </w:p>
    <w:p>
      <w:pPr>
        <w:jc w:val="left"/>
      </w:pPr>
      <w:r>
        <w:rPr>
          <w:b/>
        </w:rPr>
        <w:t>Acustischer Alarm im Fahrerhaus:</w:t>
      </w:r>
      <w:r>
        <w:t xml:space="preserve"> Der akustische Alarm des DataTrack 4000 ist über ein Kabel direkt am Fahrerhaus-Display angeschlossen. Ob dieses Kabel ordnungsgemäß verbunden war, konnte Kretschmann anhand der Rohdaten nicht feststellen. Physische Begutachtung des Geräts erforderlich (Termin 10. April 2026).</w:t>
      </w:r>
    </w:p>
    <w:p>
      <w:pPr>
        <w:jc w:val="left"/>
      </w:pPr>
      <w:r>
        <w:rPr>
          <w:b/>
        </w:rPr>
        <w:t>Relevanz:</w:t>
      </w:r>
      <w:r>
        <w:t xml:space="preserve"> Wenn der DataTrack-Alarm wegen technischen Versagens nicht ausgelöst hat, kann Petrescu/dem Fahrer kein Vorwurf gemacht werden, den Alarm ignoriert zu haben. Dies entkräftet einen wesentlichen Vorwurf der Klägerseite.</w:t>
      </w:r>
    </w:p>
    <w:p>
      <w:pPr>
        <w:pStyle w:val="Heading3"/>
      </w:pPr>
      <w:r>
        <w:rPr>
          <w:rFonts w:ascii="Times New Roman" w:hAnsi="Times New Roman"/>
        </w:rPr>
        <w:t>2.3 Innentemperatur SarBox (Frage 3)</w:t>
      </w:r>
    </w:p>
    <w:p>
      <w:pPr>
        <w:jc w:val="left"/>
      </w:pPr>
      <w:r>
        <w:rPr>
          <w:b/>
        </w:rPr>
        <w:t>Befund (vorläufig):</w:t>
      </w:r>
    </w:p>
    <w:p>
      <w:pPr>
        <w:jc w:val="left"/>
      </w:pPr>
      <w:r>
        <w:t>Die Sartorius SarBox Kryogen Compact 2.5 ist eine passive Isolierbox mit einem Phasenwechselmaterial (PCM, Schmelzpunkt ca. +5°C). Nach den technischen Spezifikationen von Sartorius (TechSpec SarBox-KC 2.5, Rev. 2024) hält die Box bei externen Temperaturen bis +25°C für mindestens 72 Stunden die Innentemperatur im Bereich +2°C bis +8°C.</w:t>
      </w:r>
    </w:p>
    <w:p>
      <w:pPr>
        <w:jc w:val="left"/>
      </w:pPr>
      <w:r>
        <w:t>"Bei einer externen Laderaumtemperatur von maximal +14,3°C über 36 Minuten ist der thermische Durchwärmungseffekt in der SarBox nach meiner Berechnung gering. Die Innentemperatur der Boxen dürfte maximal +8,5°C bis +9,0°C erreicht haben — wenn überhaupt. Die PCM-Isolierung wirkt als thermischer Puffer."</w:t>
      </w:r>
    </w:p>
    <w:p>
      <w:pPr>
        <w:jc w:val="left"/>
      </w:pPr>
      <w:r>
        <w:rPr>
          <w:b/>
        </w:rPr>
        <w:t>Konsequenz:</w:t>
      </w:r>
      <w:r>
        <w:t xml:space="preserve"> Die im QS-Report von MediVita angenommene Temperaturexposition der Vials auf &gt;+8°C für &gt;30 Minuten ist nach Kretschmanns Voreinschätzung </w:t>
      </w:r>
      <w:r>
        <w:rPr>
          <w:b/>
        </w:rPr>
        <w:t>nicht belegt</w:t>
      </w:r>
      <w:r>
        <w:t>. Dies ist das wichtigste Argument zur Schadensreduzierung.</w:t>
      </w:r>
    </w:p>
    <w:p>
      <w:pPr>
        <w:pStyle w:val="Heading3"/>
      </w:pPr>
      <w:r>
        <w:rPr>
          <w:rFonts w:ascii="Times New Roman" w:hAnsi="Times New Roman"/>
        </w:rPr>
        <w:t>2.4 Tatsächlicher Schaden (Frage 4)</w:t>
      </w:r>
    </w:p>
    <w:p>
      <w:pPr>
        <w:jc w:val="left"/>
      </w:pPr>
      <w:r>
        <w:t>Kretschmann empfiehlt die Untersuchung von mindestens 10 der als "nicht freigabefähig" eingestuften Vials durch ein unabhängiges Labor (Vorschlag: Fraunhofer-Institut für Produktionstechnologie und Automatisierung, Penzberg). Sofern die Vials dort als noch stabil befunden werden, könnte der Schaden erheblich kleiner sein.</w:t>
      </w:r>
    </w:p>
    <w:p>
      <w:pPr>
        <w:jc w:val="left"/>
      </w:pPr>
      <w:r>
        <w:rPr>
          <w:b/>
        </w:rPr>
        <w:t>Zeitlicher Engpass:</w:t>
      </w:r>
      <w:r>
        <w:t xml:space="preserve"> Die Vials wurden nach Angabe von MediVita SE am 25. Januar 2026 vernichtet — fünf Tage nach dem QS-Report. Eine nachträgliche Prüfung ist daher nicht mehr möglich. Dies ist ein erhebliches Beweis-Problem für Schwarmstedt.</w:t>
      </w:r>
    </w:p>
    <w:p>
      <w:pPr>
        <w:jc w:val="left"/>
      </w:pPr>
      <w:r>
        <w:rPr>
          <w:b/>
        </w:rPr>
        <w:t>Aber:</w:t>
      </w:r>
      <w:r>
        <w:t xml:space="preserve"> Die vorzeitige Vernichtung der Vials ohne Rücksprache mit Schwarmstedt (dem potentiellen Schadensersatzpflichtigen) verletzt möglicherweise die Schadensminderungspflicht von MediVita SE (§ 254 Abs. 2 BGB analog, Art. 17 Abs. 5 CMR). Schwarmstedt hatte kein Recht zur Begutachtung, da sie über die Vernichtungsabsicht nicht informiert wurde.</w:t>
      </w:r>
    </w:p>
    <w:p>
      <w:pPr>
        <w:pStyle w:val="Heading3"/>
      </w:pPr>
      <w:r>
        <w:rPr>
          <w:rFonts w:ascii="Times New Roman" w:hAnsi="Times New Roman"/>
        </w:rPr>
        <w:t>2.5 Kausalität Fahrerüberwachung (Frage 5)</w:t>
      </w:r>
    </w:p>
    <w:p>
      <w:pPr>
        <w:jc w:val="left"/>
      </w:pPr>
      <w:r>
        <w:t>"Wenn der Temperaturanstieg durch einen automatischen Kühlaggregat-Neustart nach ca. 36 Minuten beendet wurde, hätte eine stündliche Fahrerüberwachung (Kontrolle alle 60 Minuten) den Schaden nur verhindern können, wenn die Kontrolle genau im 03:18-03:54-Uhr-Fenster stattgefunden hätte. Das ist statistisch unwahrscheinlich. Auch eine 30-Minuten-Kontrollroutine hätte mit einer Wahrscheinlichkeit von 50% den Temperaturanstieg nicht in Echtzeit erfasst."</w:t>
      </w:r>
    </w:p>
    <w:p>
      <w:pPr>
        <w:jc w:val="left"/>
      </w:pPr>
      <w:r>
        <w:rPr>
          <w:b/>
        </w:rPr>
        <w:t>Fazit:</w:t>
      </w:r>
      <w:r>
        <w:t xml:space="preserve"> Selbst wenn der Fahrer eine engmaschigere Überwachungsroutine gefahren wäre, ist es fraglich, ob der Schaden verhindert worden wäre. Dies entkräftet die Kausalität zwischen dem Überwachungsversäumnis und dem Schaden.</w:t>
      </w:r>
    </w:p>
    <w:p/>
    <w:p>
      <w:pPr>
        <w:pStyle w:val="Heading2"/>
      </w:pPr>
      <w:r>
        <w:rPr>
          <w:rFonts w:ascii="Times New Roman" w:hAnsi="Times New Roman"/>
        </w:rPr>
        <w:t>3. Kritische Würdigung des Gutachtens</w:t>
      </w:r>
    </w:p>
    <w:p>
      <w:pPr>
        <w:jc w:val="left"/>
      </w:pPr>
      <w:r>
        <w:t>Das Gutachten Kretschmanns ist für Schwarmstedt günstig, birgt aber folgende Risiken:</w:t>
      </w:r>
    </w:p>
    <w:p>
      <w:pPr>
        <w:jc w:val="left"/>
      </w:pPr>
      <w:r>
        <w:rPr>
          <w:b/>
        </w:rPr>
        <w:t>(a) Fehlende Carrier-eTrack-Daten:</w:t>
      </w:r>
      <w:r>
        <w:t xml:space="preserve"> Solange das Kühlaggregat-Fehlerprotokoll nicht vorliegt, bleibt die Ursachentheorie "technischer Defekt" unbewiesen.</w:t>
      </w:r>
    </w:p>
    <w:p>
      <w:pPr>
        <w:jc w:val="left"/>
      </w:pPr>
      <w:r>
        <w:rPr>
          <w:b/>
        </w:rPr>
        <w:t>(b) Vernichtung der Vials:</w:t>
      </w:r>
      <w:r>
        <w:t xml:space="preserve"> Die vorzeitige Vernichtung verhindert eine unabhängige Schadensüberprüfung. MediVita SE kann sich auf den QS-Report stützen.</w:t>
      </w:r>
    </w:p>
    <w:p>
      <w:pPr>
        <w:jc w:val="left"/>
      </w:pPr>
      <w:r>
        <w:rPr>
          <w:b/>
        </w:rPr>
        <w:t>(c) Gerichtliche Akzeptanz:</w:t>
      </w:r>
      <w:r>
        <w:t xml:space="preserve"> Das Gericht kann ein eigenes Sachverständigengutachten einholen — Kretschmann als Parteisachverständiger trägt nur eingeschränkte Beweislast.</w:t>
      </w:r>
    </w:p>
    <w:p/>
    <w:p>
      <w:pPr>
        <w:pStyle w:val="Heading2"/>
      </w:pPr>
      <w:r>
        <w:rPr>
          <w:rFonts w:ascii="Times New Roman" w:hAnsi="Times New Roman"/>
        </w:rPr>
        <w:t>4. Beauftragung im Gerichtsverfahren</w:t>
      </w:r>
    </w:p>
    <w:p>
      <w:pPr>
        <w:jc w:val="left"/>
      </w:pPr>
      <w:r>
        <w:t>Schwarmstedt beantragt im Schriftsatz Klageerwiderung:</w:t>
      </w:r>
    </w:p>
    <w:p>
      <w:pPr>
        <w:pStyle w:val="ListBullet"/>
      </w:pPr>
      <w:r>
        <w:t xml:space="preserve">Einholung eines </w:t>
      </w:r>
      <w:r>
        <w:rPr>
          <w:b/>
        </w:rPr>
        <w:t>gerichtlichen Sachverständigengutachtens</w:t>
      </w:r>
      <w:r>
        <w:t xml:space="preserve"> zu den Fragen 1–3 und 5</w:t>
      </w:r>
    </w:p>
    <w:p>
      <w:pPr>
        <w:pStyle w:val="ListBullet"/>
      </w:pPr>
      <w:r>
        <w:t>Beauftragung von Prof. Dr. Kretschmann oder einer vergleichbar qualifizierten Person</w:t>
      </w:r>
    </w:p>
    <w:p>
      <w:pPr>
        <w:pStyle w:val="ListBullet"/>
      </w:pPr>
      <w:r>
        <w:t>Beibringung des Carrier eTrack-Protokolls durch MediVita SE und Petrescu Transport SRL (§ 142 ZPO, Urkundenvorlegung)</w:t>
      </w:r>
    </w:p>
    <w:p>
      <w:pPr>
        <w:jc w:val="left"/>
      </w:pPr>
      <w:r>
        <w:t>Kosten Sachverständigengutachten (Schätzung): 25.000–40.000 EUR (zzgl. MwSt.), nach § 91 ZPO von der unterliegenden Partei zu tragen.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