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SZR-Umrechnung und Haftungsberechnung — CMR Art. 23 Abs. 3</w:t>
      </w:r>
    </w:p>
    <w:p>
      <w:pPr>
        <w:jc w:val="left"/>
      </w:pPr>
      <w:r>
        <w:t>Akte: LG Hannover 9 O 244/26 / Berechnungsgrundlagen</w:t>
      </w:r>
    </w:p>
    <w:p>
      <w:pPr>
        <w:jc w:val="left"/>
      </w:pPr>
      <w:r>
        <w:t>Verfasserin: RAin Dr. Antonia Hammerschmidt</w:t>
      </w:r>
    </w:p>
    <w:p>
      <w:pPr>
        <w:jc w:val="left"/>
      </w:pPr>
      <w:r>
        <w:t>Stand: 20. April 2026</w:t>
      </w:r>
    </w:p>
    <w:p/>
    <w:p>
      <w:pPr>
        <w:pStyle w:val="Heading2"/>
      </w:pPr>
      <w:r>
        <w:rPr>
          <w:rFonts w:ascii="Times New Roman" w:hAnsi="Times New Roman"/>
        </w:rPr>
        <w:t>1. Hintergrund: Das Sonderziehungsrecht (SZR)</w:t>
      </w:r>
    </w:p>
    <w:p>
      <w:pPr>
        <w:pStyle w:val="Heading3"/>
      </w:pPr>
      <w:r>
        <w:rPr>
          <w:rFonts w:ascii="Times New Roman" w:hAnsi="Times New Roman"/>
        </w:rPr>
        <w:t>1.1 Was ist das SZR?</w:t>
      </w:r>
    </w:p>
    <w:p>
      <w:pPr>
        <w:jc w:val="left"/>
      </w:pPr>
      <w:r>
        <w:t>Das Sonderziehungsrecht (SZR; engl. Special Drawing Right, SDR) ist eine internationale Reservewährung des Internationalen Währungsfonds (IWF). Es ist kein handelsfähiges Zahlungsmittel, sondern ein Korb aus fünf Leitwährungen: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Währung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Anteil im SDR-Korb (ab 2022)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US-Dollar (USD)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43,38%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Euro (EUR)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29,31%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Chinesischer Renminbi (CNY)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12,28%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Japanischer Yen (JPY)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7,59%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Britisches Pfund (GBP)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7,44%</w:t>
            </w:r>
          </w:p>
        </w:tc>
      </w:tr>
    </w:tbl>
    <w:p>
      <w:pPr>
        <w:jc w:val="left"/>
      </w:pPr>
      <w:r>
        <w:t>Der IWF berechnet täglich den Wert des SZR in USD und veröffentlicht diesen auf seiner Website (https://www.imf.org/external/np/fin/data/param_rms_mth.aspx).</w:t>
      </w:r>
    </w:p>
    <w:p>
      <w:pPr>
        <w:pStyle w:val="Heading3"/>
      </w:pPr>
      <w:r>
        <w:rPr>
          <w:rFonts w:ascii="Times New Roman" w:hAnsi="Times New Roman"/>
        </w:rPr>
        <w:t>1.2 SZR in der CMR</w:t>
      </w:r>
    </w:p>
    <w:p>
      <w:pPr>
        <w:jc w:val="left"/>
      </w:pPr>
      <w:r>
        <w:t xml:space="preserve">Das Protokoll zur CMR vom 05. Juli 1978 (sog. SDR-Protokoll) hat den ursprünglich auf Goldfranken lautenden Haftungsbetrag (Art. 23 Abs. 3 CMR a.F.) auf SZR umgestellt. Seitdem gilt: </w:t>
      </w:r>
      <w:r>
        <w:rPr>
          <w:b/>
        </w:rPr>
        <w:t>8,33 SZR pro Kilogramm Rohgewicht der fehlenden Güter</w:t>
      </w:r>
      <w:r>
        <w:t xml:space="preserve"> als Haftungsmaximum.</w:t>
      </w:r>
    </w:p>
    <w:p/>
    <w:p>
      <w:pPr>
        <w:pStyle w:val="Heading2"/>
      </w:pPr>
      <w:r>
        <w:rPr>
          <w:rFonts w:ascii="Times New Roman" w:hAnsi="Times New Roman"/>
        </w:rPr>
        <w:t>2. Schrittweise Berechnung im Streitfall</w:t>
      </w:r>
    </w:p>
    <w:p>
      <w:pPr>
        <w:pStyle w:val="Heading3"/>
      </w:pPr>
      <w:r>
        <w:rPr>
          <w:rFonts w:ascii="Times New Roman" w:hAnsi="Times New Roman"/>
        </w:rPr>
        <w:t>2.1 Ermittlung des maßgeblichen Gewichts</w:t>
      </w:r>
    </w:p>
    <w:p>
      <w:pPr>
        <w:jc w:val="left"/>
      </w:pPr>
      <w:r>
        <w:t>Nach Art. 23 Abs. 3 CMR ist das "Rohgewicht" (= Bruttogewicht) der fehlenden/beschädigten Güter maßgeblich. Laut CMR-Frachtbrief Nr. CMR-2026-DE-001-0018:</w:t>
      </w:r>
    </w:p>
    <w:p>
      <w:pPr>
        <w:jc w:val="left"/>
      </w:pPr>
      <w:r>
        <w:rPr>
          <w:b/>
        </w:rPr>
        <w:t>Bruttogewicht laut Frachtbrief:</w:t>
      </w:r>
      <w:r>
        <w:t xml:space="preserve"> 348 kg</w:t>
      </w:r>
    </w:p>
    <w:p>
      <w:pPr>
        <w:jc w:val="left"/>
      </w:pPr>
      <w:r>
        <w:t xml:space="preserve">Zur Kontrolle: 12 Isotherm-Boxen (SarBox Kryogen Compact 2.5) à ca. 29 kg (Eigengewicht Box: 4,8 kg + 12 Vials à je ca. 0,35 kg inkl. Sekundärverpackung = ca. 4,2 kg + PCM-Kühlakku ca. 1,5 kg = ca. 10,5 kg Tara; 12 × 10,5 = 126 kg Netto-Vials; + Tara Boxen 12 × 4,8 = 57,6 kg; gesamt ca. 183,6 kg) — </w:t>
      </w:r>
      <w:r>
        <w:rPr>
          <w:b/>
        </w:rPr>
        <w:t>Differenz zum deklarierten Gewicht von 348 kg erheblich</w:t>
      </w:r>
      <w:r>
        <w:t>. Mögliche Erklärung: Mehrwandkarton-Außenverpackung, Palettengewicht, zusätzliche Kühlakkus. Zu verifizieren mit Frachtdokumenten MediVita.</w:t>
      </w:r>
    </w:p>
    <w:p>
      <w:pPr>
        <w:jc w:val="left"/>
      </w:pPr>
      <w:r>
        <w:rPr>
          <w:b/>
        </w:rPr>
        <w:t>Für die Berechnung wird das deklarierte Gewicht von 348 kg verwendet</w:t>
      </w:r>
      <w:r>
        <w:t xml:space="preserve"> (Frachtbrief hat nach Art. 9 CMR Beweiskraft).</w:t>
      </w:r>
    </w:p>
    <w:p>
      <w:pPr>
        <w:pStyle w:val="Heading3"/>
      </w:pPr>
      <w:r>
        <w:rPr>
          <w:rFonts w:ascii="Times New Roman" w:hAnsi="Times New Roman"/>
        </w:rPr>
        <w:t>2.2 Berechnung in SZR</w:t>
      </w:r>
    </w:p>
    <w:p>
      <w:pPr>
        <w:jc w:val="left"/>
      </w:pPr>
      <w:r>
        <w:t>```</w:t>
      </w:r>
    </w:p>
    <w:p>
      <w:pPr>
        <w:jc w:val="left"/>
      </w:pPr>
      <w:r>
        <w:t>Haftungshöchstbetrag (SZR) = 348 kg × 8,33 SZR/kg</w:t>
      </w:r>
    </w:p>
    <w:p>
      <w:pPr>
        <w:jc w:val="left"/>
      </w:pPr>
      <w:r>
        <w:t>= 2.898,84 SZR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2.3 Umrechnung in EUR — Stichtagskurs</w:t>
      </w:r>
    </w:p>
    <w:p>
      <w:pPr>
        <w:jc w:val="left"/>
      </w:pPr>
      <w:r>
        <w:t>Nach Art. 23 Abs. 7 CMR ist der SZR-Kurs am Tag des Urteils oder am Tag einer vereinbarten Zahlung maßgeblich. Für die Berechnung in der Klageerwiderung wird der SZR-Kurs zum Datum des Schadensereignisses (14. Januar 2026) verwendet:</w:t>
      </w:r>
    </w:p>
    <w:p>
      <w:pPr>
        <w:jc w:val="left"/>
      </w:pPr>
      <w:r>
        <w:rPr>
          <w:b/>
        </w:rPr>
        <w:t>SZR-Tageskurs 14.01.2026 (IWF-Publikation):</w:t>
      </w:r>
    </w:p>
    <w:p>
      <w:pPr>
        <w:jc w:val="left"/>
      </w:pPr>
      <w:r>
        <w:t>1 SZR = 1,2427 EUR</w:t>
      </w:r>
    </w:p>
    <w:p>
      <w:pPr>
        <w:jc w:val="left"/>
      </w:pPr>
      <w:r>
        <w:t>(Quelle: IWF SDR Valuation Bulletin, https://www.imf.org, veröffentlicht 14.01.2026)</w:t>
      </w:r>
    </w:p>
    <w:p>
      <w:pPr>
        <w:jc w:val="left"/>
      </w:pPr>
      <w:r>
        <w:t>```</w:t>
      </w:r>
    </w:p>
    <w:p>
      <w:pPr>
        <w:jc w:val="left"/>
      </w:pPr>
      <w:r>
        <w:t>Haftungshöchstbetrag (EUR) = 2.898,84 SZR × 1,2427 EUR/SZR</w:t>
      </w:r>
    </w:p>
    <w:p>
      <w:pPr>
        <w:jc w:val="left"/>
      </w:pPr>
      <w:r>
        <w:t>= 3.603,45 EUR</w:t>
      </w:r>
    </w:p>
    <w:p>
      <w:pPr>
        <w:jc w:val="left"/>
      </w:pPr>
      <w:r>
        <w:t>≈ 3.603 EUR (gerundet)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2.4 Haftungshöchstbetrag je beschädigtem Vial</w:t>
      </w:r>
    </w:p>
    <w:p>
      <w:pPr>
        <w:jc w:val="left"/>
      </w:pPr>
      <w:r>
        <w:t>Wenn Art. 23 Abs. 3 CMR Anwendung findet, ist der gesamte Haftungsbetrag auf ca. 3.603 EUR begrenzt — unabhängig davon, wie viele Vials beschädigt sind.</w:t>
      </w:r>
    </w:p>
    <w:p>
      <w:pPr>
        <w:jc w:val="left"/>
      </w:pPr>
      <w:r>
        <w:t>Dies ergibt für die 95 beschädigten Vials (MediVita-Angabe):</w:t>
      </w:r>
    </w:p>
    <w:p>
      <w:pPr>
        <w:jc w:val="left"/>
      </w:pPr>
      <w:r>
        <w:rPr>
          <w:b/>
        </w:rPr>
        <w:t>Durchschnittliche Haftung pro Vial: 3.603 EUR / 95 = 37,93 EUR</w:t>
      </w:r>
      <w:r>
        <w:t xml:space="preserve"> gegenüber einem Warenwert von 86.400 EUR pro Vial.</w:t>
      </w:r>
    </w:p>
    <w:p>
      <w:pPr>
        <w:jc w:val="left"/>
      </w:pPr>
      <w:r>
        <w:t xml:space="preserve">Die Differenz zwischen Haftungshöchstbetrag und tatsächlichem Schaden: </w:t>
      </w:r>
      <w:r>
        <w:rPr>
          <w:b/>
        </w:rPr>
        <w:t>8.208.000 EUR − 3.603 EUR = 8.204.397 EUR</w:t>
      </w:r>
      <w:r>
        <w:t>.</w:t>
      </w:r>
    </w:p>
    <w:p/>
    <w:p>
      <w:pPr>
        <w:pStyle w:val="Heading2"/>
      </w:pPr>
      <w:r>
        <w:rPr>
          <w:rFonts w:ascii="Times New Roman" w:hAnsi="Times New Roman"/>
        </w:rPr>
        <w:t>3. Vergleichsszenarien bei verschiedenen SZR-Kursen</w:t>
      </w:r>
    </w:p>
    <w:p>
      <w:pPr>
        <w:jc w:val="left"/>
      </w:pPr>
      <w:r>
        <w:t>Da der maßgebliche SZR-Kurs erst zum Zeitpunkt des Urteils (voraussichtlich Q1/Q2 2027) feststeht, werden verschiedene Szenarien berechnet: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SZR-EUR-Kurs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Haftungsmaximum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1,10 EUR/SZR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3.188,72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1,20 EUR/SZR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3.478,61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1,2427 EUR/SZR (14.01.2026)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3.603,45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1,30 EUR/SZR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3.768,49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1,40 EUR/SZR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4.058,38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1,50 EUR/SZR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4.348,26 EUR</w:t>
            </w:r>
          </w:p>
        </w:tc>
      </w:tr>
    </w:tbl>
    <w:p>
      <w:pPr>
        <w:jc w:val="left"/>
      </w:pPr>
      <w:r>
        <w:t>Die Schwankungsbreite ist für Schwarmstedt vernachlässigbar gering (Differenz zwischen min. und max. Szenario: ca. 1.160 EUR).</w:t>
      </w:r>
    </w:p>
    <w:p/>
    <w:p>
      <w:pPr>
        <w:pStyle w:val="Heading2"/>
      </w:pPr>
      <w:r>
        <w:rPr>
          <w:rFonts w:ascii="Times New Roman" w:hAnsi="Times New Roman"/>
        </w:rPr>
        <w:t>4. Sonderfall: Art. 26 CMR — Sonderinteresse-Berechnung</w:t>
      </w:r>
    </w:p>
    <w:p>
      <w:pPr>
        <w:jc w:val="left"/>
      </w:pPr>
      <w:r>
        <w:t>Wenn MediVita SE ein Sonderinteresse nach Art. 26 CMR erklärt hätte, wäre die vereinbarte Haftungssumme maßgeblich. Hypothetisch:</w:t>
      </w:r>
    </w:p>
    <w:p>
      <w:pPr>
        <w:jc w:val="left"/>
      </w:pPr>
      <w:r>
        <w:t>Falls MediVita ein Sonderinteresse von 12.441.600 EUR (Warenwert) erklärt hätte:</w:t>
      </w:r>
    </w:p>
    <w:p>
      <w:pPr>
        <w:pStyle w:val="ListBullet"/>
      </w:pPr>
      <w:r>
        <w:t>Haftungshöchstgrenze: 12.441.600 EUR (vollständiger Warenwert)</w:t>
      </w:r>
    </w:p>
    <w:p>
      <w:pPr>
        <w:pStyle w:val="ListBullet"/>
      </w:pPr>
      <w:r>
        <w:t>Tatsächlicher Schaden: 8.208.000 EUR</w:t>
      </w:r>
    </w:p>
    <w:p>
      <w:pPr>
        <w:pStyle w:val="ListBullet"/>
      </w:pPr>
      <w:r>
        <w:t>Haftung Schwarmstedt: 8.208.000 EUR</w:t>
      </w:r>
    </w:p>
    <w:p>
      <w:pPr>
        <w:jc w:val="left"/>
      </w:pPr>
      <w:r>
        <w:t>Da keine Sonderinteresseerklärung vorliegt, ist dieser Rechenweg versperrt.</w:t>
      </w:r>
    </w:p>
    <w:p/>
    <w:p>
      <w:pPr>
        <w:pStyle w:val="Heading2"/>
      </w:pPr>
      <w:r>
        <w:rPr>
          <w:rFonts w:ascii="Times New Roman" w:hAnsi="Times New Roman"/>
        </w:rPr>
        <w:t>5. Art. 24 CMR — Wertdeklaration (hypothetisch)</w:t>
      </w:r>
    </w:p>
    <w:p>
      <w:pPr>
        <w:jc w:val="left"/>
      </w:pPr>
      <w:r>
        <w:t>Wenn eine Wertdeklaration nach Art. 24 CMR vorgenommen worden wäre (z.B. Warenwert 12.441.600 EUR):</w:t>
      </w:r>
    </w:p>
    <w:p>
      <w:pPr>
        <w:pStyle w:val="ListBullet"/>
      </w:pPr>
      <w:r>
        <w:t>Frachtaufschlag nach Art. 24 CMR wäre zu vereinbaren gewesen (branchenüblich: 0,5–1% des deklarierten Werts)</w:t>
      </w:r>
    </w:p>
    <w:p>
      <w:pPr>
        <w:pStyle w:val="ListBullet"/>
      </w:pPr>
      <w:r>
        <w:t>Frachtaufschlag hypothetisch: 62.208–124.416 EUR</w:t>
      </w:r>
    </w:p>
    <w:p>
      <w:pPr>
        <w:pStyle w:val="ListBullet"/>
      </w:pPr>
      <w:r>
        <w:t>Gegenleistung: Volle Haftung bis zum deklarierten Wert</w:t>
      </w:r>
    </w:p>
    <w:p>
      <w:pPr>
        <w:jc w:val="left"/>
      </w:pPr>
      <w:r>
        <w:t>Schwarmstedt und Petrescu Transport SRL hätten bei Kenntnis des Warenwerts möglicherweise zusätzliche Sicherungsmaßnahmen getroffen oder eine höhere Frachtversicherung abgeschlossen. Das Fehlen der Deklaration liegt auch im Verantwortungsbereich von MediVita SE.</w:t>
      </w:r>
    </w:p>
    <w:p/>
    <w:p>
      <w:pPr>
        <w:pStyle w:val="Heading2"/>
      </w:pPr>
      <w:r>
        <w:rPr>
          <w:rFonts w:ascii="Times New Roman" w:hAnsi="Times New Roman"/>
        </w:rPr>
        <w:t>6. Zinsen und Kosten</w:t>
      </w:r>
    </w:p>
    <w:p>
      <w:pPr>
        <w:jc w:val="left"/>
      </w:pPr>
      <w:r>
        <w:rPr>
          <w:b/>
        </w:rPr>
        <w:t>Verzugszinsen</w:t>
      </w:r>
      <w:r>
        <w:t xml:space="preserve"> (§ 286 BGB): MediVita verlangt Zinsen ab 22. Januar 2026 (Datum Schadensanmeldung). Das ist das Datum der formellen Forderungsanmeldung. Verzugszinsen: 5 Prozentpunkte über Basiszinssatz (§ 288 Abs. 1 BGB).</w:t>
      </w:r>
    </w:p>
    <w:p>
      <w:pPr>
        <w:jc w:val="left"/>
      </w:pPr>
      <w:r>
        <w:t>Basiszinssatz (Stand April 2026): 3,12% → Verzugszinssatz: 8,12% p.a.</w:t>
      </w:r>
    </w:p>
    <w:p>
      <w:pPr>
        <w:jc w:val="left"/>
      </w:pPr>
      <w:r>
        <w:t>Zinsen auf 3.603 EUR × 8,12% p.a. × (5 Monate Verzug bis Klageerwiderung) = ca. 122 EUR — minimal.</w:t>
      </w:r>
    </w:p>
    <w:p>
      <w:pPr>
        <w:jc w:val="left"/>
      </w:pPr>
      <w:r>
        <w:rPr>
          <w:b/>
        </w:rPr>
        <w:t>Gerichtskosten</w:t>
      </w:r>
      <w:r>
        <w:t xml:space="preserve"> bei Streitwert 8.458.000 EUR (GKG Anlage 1, Nr. 1210):</w:t>
      </w:r>
    </w:p>
    <w:p>
      <w:pPr>
        <w:pStyle w:val="ListBullet"/>
      </w:pPr>
      <w:r>
        <w:t>3 Gerichtsgebühren (bei Urteil): ca. 82.452 EUR</w:t>
      </w:r>
    </w:p>
    <w:p>
      <w:pPr>
        <w:pStyle w:val="ListBullet"/>
      </w:pPr>
      <w:r>
        <w:t>Anwaltgebühren MediVita (1,3 Verfahrensgebühr + 1,2 Terminsgebühr): ca. 63.400 EUR</w:t>
      </w:r>
    </w:p>
    <w:p>
      <w:pPr>
        <w:jc w:val="left"/>
      </w:pPr>
      <w:r>
        <w:t>→ Bei Vollverurteilung trägt Schwarmstedt alle Kosten (§ 91 ZPO).</w:t>
      </w:r>
    </w:p>
    <w:p/>
    <w:p>
      <w:pPr>
        <w:pStyle w:val="Heading2"/>
      </w:pPr>
      <w:r>
        <w:rPr>
          <w:rFonts w:ascii="Times New Roman" w:hAnsi="Times New Roman"/>
        </w:rPr>
        <w:t>7. Merkpunkte für Verhandlung</w:t>
      </w:r>
    </w:p>
    <w:p>
      <w:pPr>
        <w:pStyle w:val="ListNumber"/>
      </w:pPr>
      <w:r>
        <w:t>SZR-Kurs täglich aktualisieren (IWF-Website); aktueller Kurs für Klageerwiderung eintragen</w:t>
      </w:r>
    </w:p>
    <w:p>
      <w:pPr>
        <w:pStyle w:val="ListNumber"/>
      </w:pPr>
      <w:r>
        <w:t>Bruttogewicht 348 kg belegen (Frachtbriefkopie einreichen)</w:t>
      </w:r>
    </w:p>
    <w:p>
      <w:pPr>
        <w:pStyle w:val="ListNumber"/>
      </w:pPr>
      <w:r>
        <w:t>Eventualantrag: "Sofern das Gericht die Haftung nach Art. 29 CMR bestimmt, wird beantragt, den Schaden auf 5.184.000 EUR zu begrenzen (Sachverständigengutachten: nur 60 Vials tatsächlich geschädigt)"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