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Lenk- und Ruhezeiten — Tachographauswertung Catalin Petrescu</w:t>
      </w:r>
    </w:p>
    <w:p>
      <w:pPr>
        <w:jc w:val="left"/>
      </w:pPr>
      <w:r>
        <w:t>Akte: AG Hannover OWi 31a OWi 4188 Js 7711/26 / LG Hannover 9 O 244/26</w:t>
      </w:r>
    </w:p>
    <w:p>
      <w:pPr>
        <w:jc w:val="left"/>
      </w:pPr>
      <w:r>
        <w:t>Verfasserin: Frederike Klemm (Referendarin), unter Aufsicht RAin Dr. Hammerschmidt</w:t>
      </w:r>
    </w:p>
    <w:p>
      <w:pPr>
        <w:jc w:val="left"/>
      </w:pPr>
      <w:r>
        <w:t>Stand: 22. April 2026</w:t>
      </w:r>
    </w:p>
    <w:p/>
    <w:p>
      <w:pPr>
        <w:pStyle w:val="Heading2"/>
      </w:pPr>
      <w:r>
        <w:rPr>
          <w:rFonts w:ascii="Times New Roman" w:hAnsi="Times New Roman"/>
        </w:rPr>
        <w:t>1. Rechtsgrundlagen Lenk- und Ruhezeiten</w:t>
      </w:r>
    </w:p>
    <w:p>
      <w:pPr>
        <w:pStyle w:val="Heading3"/>
      </w:pPr>
      <w:r>
        <w:rPr>
          <w:rFonts w:ascii="Times New Roman" w:hAnsi="Times New Roman"/>
        </w:rPr>
        <w:t>1.1 VO (EG) 561/2006</w:t>
      </w:r>
    </w:p>
    <w:p>
      <w:pPr>
        <w:jc w:val="left"/>
      </w:pPr>
      <w:r>
        <w:t>Die Verordnung (EG) Nr. 561/2006 des Europäischen Parlaments und des Rates zur Harmonisierung bestimmter Sozialvorschriften im Straßenverkehr regelt die Lenk- und Ruhezeiten für Fahrer von Fahrzeugen mit einem zulässigen Gesamtgewicht von mehr als 3,5 Tonnen.</w:t>
      </w:r>
    </w:p>
    <w:p>
      <w:pPr>
        <w:jc w:val="left"/>
      </w:pPr>
      <w:r>
        <w:rPr>
          <w:b/>
        </w:rPr>
        <w:t>Zentrale Vorschriften:</w:t>
      </w:r>
    </w:p>
    <w:p>
      <w:pPr>
        <w:jc w:val="left"/>
      </w:pPr>
      <w:r>
        <w:t>Art. 6 Abs. 1: Tageslenkzeit nicht mehr als 9 Stunden (Ausnahme: 2× wöchentlich bis 10 Stunden)</w:t>
      </w:r>
    </w:p>
    <w:p>
      <w:pPr>
        <w:jc w:val="left"/>
      </w:pPr>
      <w:r>
        <w:t>Art. 7: Lenkzeitunterbrechung von 45 Minuten nach spätestens 4,5 Stunden (alternativ: 15 + 30 Minuten in dieser Reihenfolge)</w:t>
      </w:r>
    </w:p>
    <w:p>
      <w:pPr>
        <w:jc w:val="left"/>
      </w:pPr>
      <w:r>
        <w:t>Art. 8 Abs. 1: Tägliche Ruhezeit mindestens 11 zusammenhängende Stunden (oder gesplittet: 3 + 9 Stunden)</w:t>
      </w:r>
    </w:p>
    <w:p>
      <w:pPr>
        <w:jc w:val="left"/>
      </w:pPr>
      <w:r>
        <w:t>Art. 8 Abs. 6: Wöchentliche Ruhezeit mindestens 45 Stunden (oder reduziert auf 24 Stunden, mit Ausgleich)</w:t>
      </w:r>
    </w:p>
    <w:p>
      <w:pPr>
        <w:pStyle w:val="Heading3"/>
      </w:pPr>
      <w:r>
        <w:rPr>
          <w:rFonts w:ascii="Times New Roman" w:hAnsi="Times New Roman"/>
        </w:rPr>
        <w:t>1.2 FPersG und FrachtPersV</w:t>
      </w:r>
    </w:p>
    <w:p>
      <w:pPr>
        <w:jc w:val="left"/>
      </w:pPr>
      <w:r>
        <w:t>Das Fahrpersonalgesetz (FPersG) i.d.F. 2021 und die Fahrpersonalverordnung (FrachtPersV) setzen die VO (EG) 561/2006 in deutsches Recht um und regeln Aufzeichnungs- und Aufbewahrungspflichten für Fahrtenbücher und Tachographen.</w:t>
      </w:r>
    </w:p>
    <w:p>
      <w:pPr>
        <w:pStyle w:val="Heading3"/>
      </w:pPr>
      <w:r>
        <w:rPr>
          <w:rFonts w:ascii="Times New Roman" w:hAnsi="Times New Roman"/>
        </w:rPr>
        <w:t>1.3 Digitaler Tachograph (DTCO)</w:t>
      </w:r>
    </w:p>
    <w:p>
      <w:pPr>
        <w:jc w:val="left"/>
      </w:pPr>
      <w:r>
        <w:t>Das Fahrzeug der Petrescu Transport SRL (Scania R 450, B-44-PTT) ist mit einem digitalen Tachographen (Continental VDO DTCO 3283) ausgestattet. Der DTCO zeichnet Geschwindigkeit, Lenkzeiten, Ruhezeiten und Fahreraktivitäten auf der Fahrerkarte (Chipkarte) auf.</w:t>
      </w:r>
    </w:p>
    <w:p/>
    <w:p>
      <w:pPr>
        <w:pStyle w:val="Heading2"/>
      </w:pPr>
      <w:r>
        <w:rPr>
          <w:rFonts w:ascii="Times New Roman" w:hAnsi="Times New Roman"/>
        </w:rPr>
        <w:t>2. Tachographauswertung Catalin Petrescu — Schadenstransport (12.–14. Januar 2026)</w:t>
      </w:r>
    </w:p>
    <w:p>
      <w:pPr>
        <w:pStyle w:val="Heading3"/>
      </w:pPr>
      <w:r>
        <w:rPr>
          <w:rFonts w:ascii="Times New Roman" w:hAnsi="Times New Roman"/>
        </w:rPr>
        <w:t>2.1 Überblick Fahrtablauf</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Datum</w:t>
            </w:r>
          </w:p>
        </w:tc>
        <w:tc>
          <w:tcPr>
            <w:tcW w:type="dxa" w:w="2268"/>
          </w:tcPr>
          <w:p>
            <w:r>
              <w:rPr>
                <w:rFonts w:ascii="Times New Roman" w:hAnsi="Times New Roman"/>
                <w:b/>
                <w:sz w:val="20"/>
              </w:rPr>
              <w:t>Uhrzeit</w:t>
            </w:r>
          </w:p>
        </w:tc>
        <w:tc>
          <w:tcPr>
            <w:tcW w:type="dxa" w:w="2268"/>
          </w:tcPr>
          <w:p>
            <w:r>
              <w:rPr>
                <w:rFonts w:ascii="Times New Roman" w:hAnsi="Times New Roman"/>
                <w:b/>
                <w:sz w:val="20"/>
              </w:rPr>
              <w:t>Aktivität</w:t>
            </w:r>
          </w:p>
        </w:tc>
        <w:tc>
          <w:tcPr>
            <w:tcW w:type="dxa" w:w="2268"/>
          </w:tcPr>
          <w:p>
            <w:r>
              <w:rPr>
                <w:rFonts w:ascii="Times New Roman" w:hAnsi="Times New Roman"/>
                <w:b/>
                <w:sz w:val="20"/>
              </w:rPr>
              <w:t>Ort</w:t>
            </w:r>
          </w:p>
        </w:tc>
      </w:tr>
      <w:tr>
        <w:tc>
          <w:tcPr>
            <w:tcW w:type="dxa" w:w="2268"/>
          </w:tcPr>
          <w:p>
            <w:r>
              <w:rPr>
                <w:rFonts w:ascii="Times New Roman" w:hAnsi="Times New Roman"/>
                <w:sz w:val="20"/>
              </w:rPr>
              <w:t>12.01.2026</w:t>
            </w:r>
          </w:p>
        </w:tc>
        <w:tc>
          <w:tcPr>
            <w:tcW w:type="dxa" w:w="2268"/>
          </w:tcPr>
          <w:p>
            <w:r>
              <w:rPr>
                <w:rFonts w:ascii="Times New Roman" w:hAnsi="Times New Roman"/>
                <w:sz w:val="20"/>
              </w:rPr>
              <w:t>07:30</w:t>
            </w:r>
          </w:p>
        </w:tc>
        <w:tc>
          <w:tcPr>
            <w:tcW w:type="dxa" w:w="2268"/>
          </w:tcPr>
          <w:p>
            <w:r>
              <w:rPr>
                <w:rFonts w:ascii="Times New Roman" w:hAnsi="Times New Roman"/>
                <w:sz w:val="20"/>
              </w:rPr>
              <w:t>Fahrtantritt</w:t>
            </w:r>
          </w:p>
        </w:tc>
        <w:tc>
          <w:tcPr>
            <w:tcW w:type="dxa" w:w="2268"/>
          </w:tcPr>
          <w:p>
            <w:r>
              <w:rPr>
                <w:rFonts w:ascii="Times New Roman" w:hAnsi="Times New Roman"/>
                <w:sz w:val="20"/>
              </w:rPr>
              <w:t>Wuppertal (Laderampe MediVita)</w:t>
            </w:r>
          </w:p>
        </w:tc>
      </w:tr>
      <w:tr>
        <w:tc>
          <w:tcPr>
            <w:tcW w:type="dxa" w:w="2268"/>
          </w:tcPr>
          <w:p>
            <w:r>
              <w:rPr>
                <w:rFonts w:ascii="Times New Roman" w:hAnsi="Times New Roman"/>
                <w:sz w:val="20"/>
              </w:rPr>
              <w:t>12.01.2026</w:t>
            </w:r>
          </w:p>
        </w:tc>
        <w:tc>
          <w:tcPr>
            <w:tcW w:type="dxa" w:w="2268"/>
          </w:tcPr>
          <w:p>
            <w:r>
              <w:rPr>
                <w:rFonts w:ascii="Times New Roman" w:hAnsi="Times New Roman"/>
                <w:sz w:val="20"/>
              </w:rPr>
              <w:t>07:30–11:15</w:t>
            </w:r>
          </w:p>
        </w:tc>
        <w:tc>
          <w:tcPr>
            <w:tcW w:type="dxa" w:w="2268"/>
          </w:tcPr>
          <w:p>
            <w:r>
              <w:rPr>
                <w:rFonts w:ascii="Times New Roman" w:hAnsi="Times New Roman"/>
                <w:sz w:val="20"/>
              </w:rPr>
              <w:t>Lenkzeit (3h 45min)</w:t>
            </w:r>
          </w:p>
        </w:tc>
        <w:tc>
          <w:tcPr>
            <w:tcW w:type="dxa" w:w="2268"/>
          </w:tcPr>
          <w:p>
            <w:r>
              <w:rPr>
                <w:rFonts w:ascii="Times New Roman" w:hAnsi="Times New Roman"/>
                <w:sz w:val="20"/>
              </w:rPr>
              <w:t>Wuppertal → Köln → Aachen</w:t>
            </w:r>
          </w:p>
        </w:tc>
      </w:tr>
      <w:tr>
        <w:tc>
          <w:tcPr>
            <w:tcW w:type="dxa" w:w="2268"/>
          </w:tcPr>
          <w:p>
            <w:r>
              <w:rPr>
                <w:rFonts w:ascii="Times New Roman" w:hAnsi="Times New Roman"/>
                <w:sz w:val="20"/>
              </w:rPr>
              <w:t>12.01.2026</w:t>
            </w:r>
          </w:p>
        </w:tc>
        <w:tc>
          <w:tcPr>
            <w:tcW w:type="dxa" w:w="2268"/>
          </w:tcPr>
          <w:p>
            <w:r>
              <w:rPr>
                <w:rFonts w:ascii="Times New Roman" w:hAnsi="Times New Roman"/>
                <w:sz w:val="20"/>
              </w:rPr>
              <w:t>11:15–11:45</w:t>
            </w:r>
          </w:p>
        </w:tc>
        <w:tc>
          <w:tcPr>
            <w:tcW w:type="dxa" w:w="2268"/>
          </w:tcPr>
          <w:p>
            <w:r>
              <w:rPr>
                <w:rFonts w:ascii="Times New Roman" w:hAnsi="Times New Roman"/>
                <w:sz w:val="20"/>
              </w:rPr>
              <w:t>Pause (30 Min.)</w:t>
            </w:r>
          </w:p>
        </w:tc>
        <w:tc>
          <w:tcPr>
            <w:tcW w:type="dxa" w:w="2268"/>
          </w:tcPr>
          <w:p>
            <w:r>
              <w:rPr>
                <w:rFonts w:ascii="Times New Roman" w:hAnsi="Times New Roman"/>
                <w:sz w:val="20"/>
              </w:rPr>
              <w:t>Aachen Raststätte</w:t>
            </w:r>
          </w:p>
        </w:tc>
      </w:tr>
      <w:tr>
        <w:tc>
          <w:tcPr>
            <w:tcW w:type="dxa" w:w="2268"/>
          </w:tcPr>
          <w:p>
            <w:r>
              <w:rPr>
                <w:rFonts w:ascii="Times New Roman" w:hAnsi="Times New Roman"/>
                <w:sz w:val="20"/>
              </w:rPr>
              <w:t>12.01.2026</w:t>
            </w:r>
          </w:p>
        </w:tc>
        <w:tc>
          <w:tcPr>
            <w:tcW w:type="dxa" w:w="2268"/>
          </w:tcPr>
          <w:p>
            <w:r>
              <w:rPr>
                <w:rFonts w:ascii="Times New Roman" w:hAnsi="Times New Roman"/>
                <w:sz w:val="20"/>
              </w:rPr>
              <w:t>11:45–13:30</w:t>
            </w:r>
          </w:p>
        </w:tc>
        <w:tc>
          <w:tcPr>
            <w:tcW w:type="dxa" w:w="2268"/>
          </w:tcPr>
          <w:p>
            <w:r>
              <w:rPr>
                <w:rFonts w:ascii="Times New Roman" w:hAnsi="Times New Roman"/>
                <w:sz w:val="20"/>
              </w:rPr>
              <w:t>Lenkzeit (1h 45min)</w:t>
            </w:r>
          </w:p>
        </w:tc>
        <w:tc>
          <w:tcPr>
            <w:tcW w:type="dxa" w:w="2268"/>
          </w:tcPr>
          <w:p>
            <w:r>
              <w:rPr>
                <w:rFonts w:ascii="Times New Roman" w:hAnsi="Times New Roman"/>
                <w:sz w:val="20"/>
              </w:rPr>
              <w:t>Aachen → Lüttich (Belgien)</w:t>
            </w:r>
          </w:p>
        </w:tc>
      </w:tr>
      <w:tr>
        <w:tc>
          <w:tcPr>
            <w:tcW w:type="dxa" w:w="2268"/>
          </w:tcPr>
          <w:p>
            <w:r>
              <w:rPr>
                <w:rFonts w:ascii="Times New Roman" w:hAnsi="Times New Roman"/>
                <w:sz w:val="20"/>
              </w:rPr>
              <w:t>12.01.2026</w:t>
            </w:r>
          </w:p>
        </w:tc>
        <w:tc>
          <w:tcPr>
            <w:tcW w:type="dxa" w:w="2268"/>
          </w:tcPr>
          <w:p>
            <w:r>
              <w:rPr>
                <w:rFonts w:ascii="Times New Roman" w:hAnsi="Times New Roman"/>
                <w:sz w:val="20"/>
              </w:rPr>
              <w:t>13:30–17:00</w:t>
            </w:r>
          </w:p>
        </w:tc>
        <w:tc>
          <w:tcPr>
            <w:tcW w:type="dxa" w:w="2268"/>
          </w:tcPr>
          <w:p>
            <w:r>
              <w:rPr>
                <w:rFonts w:ascii="Times New Roman" w:hAnsi="Times New Roman"/>
                <w:sz w:val="20"/>
              </w:rPr>
              <w:t>Lenkzeit (3h 30min)</w:t>
            </w:r>
          </w:p>
        </w:tc>
        <w:tc>
          <w:tcPr>
            <w:tcW w:type="dxa" w:w="2268"/>
          </w:tcPr>
          <w:p>
            <w:r>
              <w:rPr>
                <w:rFonts w:ascii="Times New Roman" w:hAnsi="Times New Roman"/>
                <w:sz w:val="20"/>
              </w:rPr>
              <w:t>Lüttich → Metz (nach 15-Min-Pause)</w:t>
            </w:r>
          </w:p>
        </w:tc>
      </w:tr>
      <w:tr>
        <w:tc>
          <w:tcPr>
            <w:tcW w:type="dxa" w:w="2268"/>
          </w:tcPr>
          <w:p>
            <w:r>
              <w:rPr>
                <w:rFonts w:ascii="Times New Roman" w:hAnsi="Times New Roman"/>
                <w:sz w:val="20"/>
              </w:rPr>
              <w:t>12.01.2026</w:t>
            </w:r>
          </w:p>
        </w:tc>
        <w:tc>
          <w:tcPr>
            <w:tcW w:type="dxa" w:w="2268"/>
          </w:tcPr>
          <w:p>
            <w:r>
              <w:rPr>
                <w:rFonts w:ascii="Times New Roman" w:hAnsi="Times New Roman"/>
                <w:sz w:val="20"/>
              </w:rPr>
              <w:t>17:00–18:00</w:t>
            </w:r>
          </w:p>
        </w:tc>
        <w:tc>
          <w:tcPr>
            <w:tcW w:type="dxa" w:w="2268"/>
          </w:tcPr>
          <w:p>
            <w:r>
              <w:rPr>
                <w:rFonts w:ascii="Times New Roman" w:hAnsi="Times New Roman"/>
                <w:sz w:val="20"/>
              </w:rPr>
              <w:t>Tägliche Ruhezeit (Beginn)</w:t>
            </w:r>
          </w:p>
        </w:tc>
        <w:tc>
          <w:tcPr>
            <w:tcW w:type="dxa" w:w="2268"/>
          </w:tcPr>
          <w:p>
            <w:r>
              <w:rPr>
                <w:rFonts w:ascii="Times New Roman" w:hAnsi="Times New Roman"/>
                <w:sz w:val="20"/>
              </w:rPr>
              <w:t>Metz, Parkplatz</w:t>
            </w:r>
          </w:p>
        </w:tc>
      </w:tr>
      <w:tr>
        <w:tc>
          <w:tcPr>
            <w:tcW w:type="dxa" w:w="2268"/>
          </w:tcPr>
          <w:p>
            <w:r>
              <w:rPr>
                <w:rFonts w:ascii="Times New Roman" w:hAnsi="Times New Roman"/>
                <w:sz w:val="20"/>
              </w:rPr>
              <w:t>12.01.2026</w:t>
            </w:r>
          </w:p>
        </w:tc>
        <w:tc>
          <w:tcPr>
            <w:tcW w:type="dxa" w:w="2268"/>
          </w:tcPr>
          <w:p>
            <w:r>
              <w:rPr>
                <w:rFonts w:ascii="Times New Roman" w:hAnsi="Times New Roman"/>
                <w:sz w:val="20"/>
              </w:rPr>
              <w:t>18:00–22:30</w:t>
            </w:r>
          </w:p>
        </w:tc>
        <w:tc>
          <w:tcPr>
            <w:tcW w:type="dxa" w:w="2268"/>
          </w:tcPr>
          <w:p>
            <w:r>
              <w:rPr>
                <w:rFonts w:ascii="Times New Roman" w:hAnsi="Times New Roman"/>
                <w:sz w:val="20"/>
              </w:rPr>
              <w:t>Fortsetzung Lenkzeit (4h 30min)</w:t>
            </w:r>
          </w:p>
        </w:tc>
        <w:tc>
          <w:tcPr>
            <w:tcW w:type="dxa" w:w="2268"/>
          </w:tcPr>
          <w:p>
            <w:r>
              <w:rPr>
                <w:rFonts w:ascii="Times New Roman" w:hAnsi="Times New Roman"/>
                <w:sz w:val="20"/>
              </w:rPr>
              <w:t>Metz → Straßburg → Mulhouse</w:t>
            </w:r>
          </w:p>
        </w:tc>
      </w:tr>
      <w:tr>
        <w:tc>
          <w:tcPr>
            <w:tcW w:type="dxa" w:w="2268"/>
          </w:tcPr>
          <w:p>
            <w:r>
              <w:rPr>
                <w:rFonts w:ascii="Times New Roman" w:hAnsi="Times New Roman"/>
                <w:sz w:val="20"/>
              </w:rPr>
              <w:t>12.01.2026</w:t>
            </w:r>
          </w:p>
        </w:tc>
        <w:tc>
          <w:tcPr>
            <w:tcW w:type="dxa" w:w="2268"/>
          </w:tcPr>
          <w:p>
            <w:r>
              <w:rPr>
                <w:rFonts w:ascii="Times New Roman" w:hAnsi="Times New Roman"/>
                <w:sz w:val="20"/>
              </w:rPr>
              <w:t>22:30</w:t>
            </w:r>
          </w:p>
        </w:tc>
        <w:tc>
          <w:tcPr>
            <w:tcW w:type="dxa" w:w="2268"/>
          </w:tcPr>
          <w:p>
            <w:r>
              <w:rPr>
                <w:rFonts w:ascii="Times New Roman" w:hAnsi="Times New Roman"/>
                <w:sz w:val="20"/>
              </w:rPr>
              <w:t>Tagesende / Lenkzeit gesamt</w:t>
            </w:r>
          </w:p>
        </w:tc>
        <w:tc>
          <w:tcPr>
            <w:tcW w:type="dxa" w:w="2268"/>
          </w:tcPr>
          <w:p>
            <w:r>
              <w:rPr>
                <w:rFonts w:ascii="Times New Roman" w:hAnsi="Times New Roman"/>
                <w:sz w:val="20"/>
              </w:rPr>
              <w:t>13h 30min (inkl. Pausen) → Lenkzeit 9h?</w:t>
            </w:r>
          </w:p>
        </w:tc>
      </w:tr>
    </w:tbl>
    <w:p>
      <w:pPr>
        <w:jc w:val="left"/>
      </w:pPr>
      <w:r>
        <w:rPr>
          <w:b/>
        </w:rPr>
        <w:t>Hinweis:</w:t>
      </w:r>
      <w:r>
        <w:t xml:space="preserve"> Das BALM hat auf der Strecke Köln–Straßburg (Teilabschnitt 11:45–17:00 Uhr) eine zusammenhängende Lenkzeit von 5 Stunden 48 Minuten festgestellt, ohne die Mindestpause von 45 Minuten. Die 15-Minuten-Pause um ca. 13:15 Uhr genügt nicht als vollständige Pflichtpause.</w:t>
      </w:r>
    </w:p>
    <w:p>
      <w:pPr>
        <w:pStyle w:val="Heading3"/>
      </w:pPr>
      <w:r>
        <w:rPr>
          <w:rFonts w:ascii="Times New Roman" w:hAnsi="Times New Roman"/>
        </w:rPr>
        <w:t>2.2 Detailanalyse BALM-Beanstandung (Strecke Köln–Straßburg)</w:t>
      </w:r>
    </w:p>
    <w:p>
      <w:pPr>
        <w:jc w:val="left"/>
      </w:pPr>
      <w:r>
        <w:t>Nach Tachographdaten:</w:t>
      </w:r>
    </w:p>
    <w:p>
      <w:pPr>
        <w:pStyle w:val="ListBullet"/>
      </w:pPr>
      <w:r>
        <w:t>11:45 Uhr: Weiterfahrt Aachen (nach 30-Min-Pause)</w:t>
      </w:r>
    </w:p>
    <w:p>
      <w:pPr>
        <w:pStyle w:val="ListBullet"/>
      </w:pPr>
      <w:r>
        <w:t>13:15 Uhr: Kurzstopp 15 Minuten (Lüttich, Raststätte — Grund unbekannt, möglicherweise Tankstopp)</w:t>
      </w:r>
    </w:p>
    <w:p>
      <w:pPr>
        <w:pStyle w:val="ListBullet"/>
      </w:pPr>
      <w:r>
        <w:t>13:30 Uhr: Weiterfahrt</w:t>
      </w:r>
    </w:p>
    <w:p>
      <w:pPr>
        <w:pStyle w:val="ListBullet"/>
      </w:pPr>
      <w:r>
        <w:t>17:33 Uhr: Nächster Stopp in Straßburg (Raststätte A35)</w:t>
      </w:r>
    </w:p>
    <w:p>
      <w:pPr>
        <w:jc w:val="left"/>
      </w:pPr>
      <w:r>
        <w:t>Lenkzeit von 11:45 bis 17:33 Uhr (abzüglich 15-Min-Pause): = 5 Std. 48 Min.</w:t>
      </w:r>
    </w:p>
    <w:p>
      <w:pPr>
        <w:jc w:val="left"/>
      </w:pPr>
      <w:r>
        <w:t>Nach Art. 7 VO (EG) 561/2006: Zulässige Lenkzeit zwischen Pausen: 4 Std. 30 Min.</w:t>
      </w:r>
    </w:p>
    <w:p>
      <w:pPr>
        <w:jc w:val="left"/>
      </w:pPr>
      <w:r>
        <w:t>Überschreitung: 1 Std. 18 Min.</w:t>
      </w:r>
    </w:p>
    <w:p>
      <w:pPr>
        <w:jc w:val="left"/>
      </w:pPr>
      <w:r>
        <w:rPr>
          <w:b/>
        </w:rPr>
        <w:t>Verteidigung (Bußgeldverfahren):</w:t>
      </w:r>
      <w:r>
        <w:t xml:space="preserve"> Die 15-Minuten-Pause ab 13:15 Uhr könnte als erster Teil der gestaffelten Pause (15 + 30 Min.) gewertet werden, wenn die nachfolgende 30-Min-Pause zeitnah erfolgt wäre. Der nächste längere Stopp (Straßburg, 17:33 Uhr) hatte allerdings eine Dauer von nur 22 Minuten — damit wäre die gestaffelte Pausenregel ebenfalls nicht erfüllt.</w:t>
      </w:r>
    </w:p>
    <w:p>
      <w:pPr>
        <w:jc w:val="left"/>
      </w:pPr>
      <w:r>
        <w:rPr>
          <w:b/>
        </w:rPr>
        <w:t>Ergebnis:</w:t>
      </w:r>
      <w:r>
        <w:t xml:space="preserve"> Der Lenkzeitverstoß ist nach Aktenlage schwer zu widerlegen. Für das Bußgeldverfahren ist dieser Verstoß gegen Petrescu Transport SRL (als Betriebsinhaber des Fahrzeugs) gerichtet, nicht gegen Schwarmstedt.</w:t>
      </w:r>
    </w:p>
    <w:p/>
    <w:p>
      <w:pPr>
        <w:pStyle w:val="Heading2"/>
      </w:pPr>
      <w:r>
        <w:rPr>
          <w:rFonts w:ascii="Times New Roman" w:hAnsi="Times New Roman"/>
        </w:rPr>
        <w:t>3. Nachtabschnitt (13./14. Januar 2026) — Relevanz für CMR-Verfahren</w:t>
      </w:r>
    </w:p>
    <w:p>
      <w:pPr>
        <w:pStyle w:val="Heading3"/>
      </w:pPr>
      <w:r>
        <w:rPr>
          <w:rFonts w:ascii="Times New Roman" w:hAnsi="Times New Roman"/>
        </w:rPr>
        <w:t>3.1 Ruhezeit vor dem Schadenstransport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Uhrzeit</w:t>
            </w:r>
          </w:p>
        </w:tc>
        <w:tc>
          <w:tcPr>
            <w:tcW w:type="dxa" w:w="3024"/>
          </w:tcPr>
          <w:p>
            <w:r>
              <w:rPr>
                <w:rFonts w:ascii="Times New Roman" w:hAnsi="Times New Roman"/>
                <w:b/>
                <w:sz w:val="20"/>
              </w:rPr>
              <w:t>Aktivität</w:t>
            </w:r>
          </w:p>
        </w:tc>
      </w:tr>
      <w:tr>
        <w:tc>
          <w:tcPr>
            <w:tcW w:type="dxa" w:w="3024"/>
          </w:tcPr>
          <w:p>
            <w:r>
              <w:rPr>
                <w:rFonts w:ascii="Times New Roman" w:hAnsi="Times New Roman"/>
                <w:sz w:val="20"/>
              </w:rPr>
              <w:t>12.01.2026</w:t>
            </w:r>
          </w:p>
        </w:tc>
        <w:tc>
          <w:tcPr>
            <w:tcW w:type="dxa" w:w="3024"/>
          </w:tcPr>
          <w:p>
            <w:r>
              <w:rPr>
                <w:rFonts w:ascii="Times New Roman" w:hAnsi="Times New Roman"/>
                <w:sz w:val="20"/>
              </w:rPr>
              <w:t>23:00</w:t>
            </w:r>
          </w:p>
        </w:tc>
        <w:tc>
          <w:tcPr>
            <w:tcW w:type="dxa" w:w="3024"/>
          </w:tcPr>
          <w:p>
            <w:r>
              <w:rPr>
                <w:rFonts w:ascii="Times New Roman" w:hAnsi="Times New Roman"/>
                <w:sz w:val="20"/>
              </w:rPr>
              <w:t>Beginn tägliche Ruhezeit (Rastplatz Bourg-en-Bresse Ost)</w:t>
            </w:r>
          </w:p>
        </w:tc>
      </w:tr>
      <w:tr>
        <w:tc>
          <w:tcPr>
            <w:tcW w:type="dxa" w:w="3024"/>
          </w:tcPr>
          <w:p>
            <w:r>
              <w:rPr>
                <w:rFonts w:ascii="Times New Roman" w:hAnsi="Times New Roman"/>
                <w:sz w:val="20"/>
              </w:rPr>
              <w:t>13.01.2026</w:t>
            </w:r>
          </w:p>
        </w:tc>
        <w:tc>
          <w:tcPr>
            <w:tcW w:type="dxa" w:w="3024"/>
          </w:tcPr>
          <w:p>
            <w:r>
              <w:rPr>
                <w:rFonts w:ascii="Times New Roman" w:hAnsi="Times New Roman"/>
                <w:sz w:val="20"/>
              </w:rPr>
              <w:t>—</w:t>
            </w:r>
          </w:p>
        </w:tc>
        <w:tc>
          <w:tcPr>
            <w:tcW w:type="dxa" w:w="3024"/>
          </w:tcPr>
          <w:p>
            <w:r>
              <w:rPr>
                <w:rFonts w:ascii="Times New Roman" w:hAnsi="Times New Roman"/>
                <w:sz w:val="20"/>
              </w:rPr>
              <w:t>Ruhetag? (Datenlücke in Tachographaufzeichnung 13.01.2026)</w:t>
            </w:r>
          </w:p>
        </w:tc>
      </w:tr>
      <w:tr>
        <w:tc>
          <w:tcPr>
            <w:tcW w:type="dxa" w:w="3024"/>
          </w:tcPr>
          <w:p>
            <w:r>
              <w:rPr>
                <w:rFonts w:ascii="Times New Roman" w:hAnsi="Times New Roman"/>
                <w:sz w:val="20"/>
              </w:rPr>
              <w:t>14.01.2026</w:t>
            </w:r>
          </w:p>
        </w:tc>
        <w:tc>
          <w:tcPr>
            <w:tcW w:type="dxa" w:w="3024"/>
          </w:tcPr>
          <w:p>
            <w:r>
              <w:rPr>
                <w:rFonts w:ascii="Times New Roman" w:hAnsi="Times New Roman"/>
                <w:sz w:val="20"/>
              </w:rPr>
              <w:t>(Nacht)</w:t>
            </w:r>
          </w:p>
        </w:tc>
        <w:tc>
          <w:tcPr>
            <w:tcW w:type="dxa" w:w="3024"/>
          </w:tcPr>
          <w:p>
            <w:r>
              <w:rPr>
                <w:rFonts w:ascii="Times New Roman" w:hAnsi="Times New Roman"/>
                <w:sz w:val="20"/>
              </w:rPr>
              <w:t>Weiterfahrt geplant</w:t>
            </w:r>
          </w:p>
        </w:tc>
      </w:tr>
    </w:tbl>
    <w:p>
      <w:pPr>
        <w:jc w:val="left"/>
      </w:pPr>
      <w:r>
        <w:rPr>
          <w:b/>
        </w:rPr>
        <w:t>Datenlücke 13. Januar 2026:</w:t>
      </w:r>
      <w:r>
        <w:t xml:space="preserve"> Die Tachographkarte weist für den 13. Januar 2026 keine Einträge auf. Petrescu Transport SRL hat erklärt, Catalin Petrescu habe am 13. Januar 2026 seine wöchentliche Ruhezeit (geplant: reguläre Ruhezeit von 45 Stunden) begonnen. Der Streckenplan sah vor, am 14. Januar 2026 um ca. 02:00 Uhr die Fahrt nach Lyon fortzusetzen.</w:t>
      </w:r>
    </w:p>
    <w:p>
      <w:pPr>
        <w:jc w:val="left"/>
      </w:pPr>
      <w:r>
        <w:t>Wenn der Fahrer tatsächlich eine Ruhezeit eingelegt hat (wie durch Tachograph-"Rest"-Aufzeichnung belegt), war er zum Zeitpunkt des Schadenseintritts (03:18 Uhr, 14.01.2026) während der Fahrt — aber die Laderaumüberwachung während seiner gesetzlichen Pause ist ein strukturelles Problem, nicht ein Fahrlässigkeitsproblem im traditionellen Sinne.</w:t>
      </w:r>
    </w:p>
    <w:p>
      <w:pPr>
        <w:pStyle w:val="Heading3"/>
      </w:pPr>
      <w:r>
        <w:rPr>
          <w:rFonts w:ascii="Times New Roman" w:hAnsi="Times New Roman"/>
        </w:rPr>
        <w:t>3.2 Überwachungspflicht während Ruhezeit</w:t>
      </w:r>
    </w:p>
    <w:p>
      <w:pPr>
        <w:jc w:val="left"/>
      </w:pPr>
      <w:r>
        <w:t>Können Fahrer verpflichtet sein, während der gesetzlichen Ruhepause die Ware zu überwachen?</w:t>
      </w:r>
    </w:p>
    <w:p>
      <w:pPr>
        <w:jc w:val="left"/>
      </w:pPr>
      <w:r>
        <w:rPr>
          <w:b/>
        </w:rPr>
        <w:t>Rechtliche Einschätzung:</w:t>
      </w:r>
      <w:r>
        <w:t xml:space="preserve"> Die VO (EG) 561/2006 verpflichtet den Fahrer zur Ruhepause — das ist eine zwingende öffentlich-rechtliche Pflicht. Aus dem Frachtvertrag (CMR-Frachtbrief) kann keine privatrechtliche Pflicht abgeleitet werden, die diese öffentlich-rechtliche Pflicht aushöhlt. Die Verpflichtung zur Echtzeit-Temperaturüberwachung trifft das Speditionsunternehmen strukturell (durch technische Systeme), nicht persönlich den schlafenden Fahrer.</w:t>
      </w:r>
    </w:p>
    <w:p>
      <w:pPr>
        <w:jc w:val="left"/>
      </w:pPr>
      <w:r>
        <w:rPr>
          <w:b/>
        </w:rPr>
        <w:t>Argument für Schwarmstedt:</w:t>
      </w:r>
      <w:r>
        <w:t xml:space="preserve"> Das Frachtrecht (CMR) kann von Fahrern nicht verlangen, dass sie gegen das Fahrpersonalrecht (VO (EG) 561/2006) verstoßen. Die Überwachung während Ruhezeiten muss durch technische Mittel (automatischer Alarm) gewährleistet werden — und genau diese Mittel (DataTrack-Alarm) haben versagt.</w:t>
      </w:r>
    </w:p>
    <w:p/>
    <w:p>
      <w:pPr>
        <w:pStyle w:val="Heading2"/>
      </w:pPr>
      <w:r>
        <w:rPr>
          <w:rFonts w:ascii="Times New Roman" w:hAnsi="Times New Roman"/>
        </w:rPr>
        <w:t>4. Tachograph-Daten als Beweismittel</w:t>
      </w:r>
    </w:p>
    <w:p>
      <w:pPr>
        <w:pStyle w:val="Heading3"/>
      </w:pPr>
      <w:r>
        <w:rPr>
          <w:rFonts w:ascii="Times New Roman" w:hAnsi="Times New Roman"/>
        </w:rPr>
        <w:t>4.1 Verwendung im Zivil- und Bußgeldverfahren</w:t>
      </w:r>
    </w:p>
    <w:p>
      <w:pPr>
        <w:jc w:val="left"/>
      </w:pPr>
      <w:r>
        <w:t>Die Tachographdaten sind nach §§ 32 ff. BDSG und Art. 6 Abs. 1 lit. f DSGVO als personenbezogene Daten des Fahrers (Catalin Petrescu) einzustufen. Im Bußgeldverfahren ist die Verwertung durch das BALM unproblematisch (Art. 6 Abs. 1 lit. c DSGVO, gesetzliche Pflicht). Im Zivilverfahren (LG Hannover) ist die Verwendung der Tachographdaten als Beweis für das Fahrverhalten des Subunternehmers zulässig (BGH, Beschl. v. 15.05.2018 — VI ZR 233/17).</w:t>
      </w:r>
    </w:p>
    <w:p>
      <w:pPr>
        <w:pStyle w:val="Heading3"/>
      </w:pPr>
      <w:r>
        <w:rPr>
          <w:rFonts w:ascii="Times New Roman" w:hAnsi="Times New Roman"/>
        </w:rPr>
        <w:t>4.2 Beweissicherung</w:t>
      </w:r>
    </w:p>
    <w:p>
      <w:pPr>
        <w:jc w:val="left"/>
      </w:pPr>
      <w:r>
        <w:t>Tachographdaten müssen nach § 4 FPersG für 12 Monate aufbewahrt werden (bei Petrescu Transport SRL). Schwarmstedt hat Petrescu aufgefordert, die vollständigen Tachographdaten für den Zeitraum 12.–14. Januar 2026 zu sichern und auf Anforderung dem Gericht vorzulegen. Eine gerichtliche Anforderung nach § 142 ZPO ist vorzubereiten.</w:t>
      </w:r>
    </w:p>
    <w:p/>
    <w:p>
      <w:pPr>
        <w:pStyle w:val="Heading2"/>
      </w:pPr>
      <w:r>
        <w:rPr>
          <w:rFonts w:ascii="Times New Roman" w:hAnsi="Times New Roman"/>
        </w:rPr>
        <w:t>5. Fazit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Lenkzeitverstoß BALM (OWi)</w:t>
            </w:r>
          </w:p>
        </w:tc>
        <w:tc>
          <w:tcPr>
            <w:tcW w:type="dxa" w:w="4536"/>
          </w:tcPr>
          <w:p>
            <w:r>
              <w:rPr>
                <w:rFonts w:ascii="Times New Roman" w:hAnsi="Times New Roman"/>
                <w:sz w:val="20"/>
              </w:rPr>
              <w:t>Schwer zu widerlegen; nicht kausal für CMR-Schaden</w:t>
            </w:r>
          </w:p>
        </w:tc>
      </w:tr>
      <w:tr>
        <w:tc>
          <w:tcPr>
            <w:tcW w:type="dxa" w:w="4536"/>
          </w:tcPr>
          <w:p>
            <w:r>
              <w:rPr>
                <w:rFonts w:ascii="Times New Roman" w:hAnsi="Times New Roman"/>
                <w:sz w:val="20"/>
              </w:rPr>
              <w:t>Ruhezeit beim Schadenseintritt</w:t>
            </w:r>
          </w:p>
        </w:tc>
        <w:tc>
          <w:tcPr>
            <w:tcW w:type="dxa" w:w="4536"/>
          </w:tcPr>
          <w:p>
            <w:r>
              <w:rPr>
                <w:rFonts w:ascii="Times New Roman" w:hAnsi="Times New Roman"/>
                <w:sz w:val="20"/>
              </w:rPr>
              <w:t>Fahrer hat rechtmäßige Ruhezeit eingelegt — kein Vorwurf</w:t>
            </w:r>
          </w:p>
        </w:tc>
      </w:tr>
      <w:tr>
        <w:tc>
          <w:tcPr>
            <w:tcW w:type="dxa" w:w="4536"/>
          </w:tcPr>
          <w:p>
            <w:r>
              <w:rPr>
                <w:rFonts w:ascii="Times New Roman" w:hAnsi="Times New Roman"/>
                <w:sz w:val="20"/>
              </w:rPr>
              <w:t>Überwachungspflicht während Ruhe</w:t>
            </w:r>
          </w:p>
        </w:tc>
        <w:tc>
          <w:tcPr>
            <w:tcW w:type="dxa" w:w="4536"/>
          </w:tcPr>
          <w:p>
            <w:r>
              <w:rPr>
                <w:rFonts w:ascii="Times New Roman" w:hAnsi="Times New Roman"/>
                <w:sz w:val="20"/>
              </w:rPr>
              <w:t>Keine persönliche Pflicht; strukturelle Pflicht (technisch) bei Petrescu/Schwarmstedt</w:t>
            </w:r>
          </w:p>
        </w:tc>
      </w:tr>
      <w:tr>
        <w:tc>
          <w:tcPr>
            <w:tcW w:type="dxa" w:w="4536"/>
          </w:tcPr>
          <w:p>
            <w:r>
              <w:rPr>
                <w:rFonts w:ascii="Times New Roman" w:hAnsi="Times New Roman"/>
                <w:sz w:val="20"/>
              </w:rPr>
              <w:t>Art. 29 CMR — Lenkzeitverstoß</w:t>
            </w:r>
          </w:p>
        </w:tc>
        <w:tc>
          <w:tcPr>
            <w:tcW w:type="dxa" w:w="4536"/>
          </w:tcPr>
          <w:p>
            <w:r>
              <w:rPr>
                <w:rFonts w:ascii="Times New Roman" w:hAnsi="Times New Roman"/>
                <w:sz w:val="20"/>
              </w:rPr>
              <w:t>Kein Kausalzusammenhang zwischen Lenkzeitverstoß und Kühlkettenbruch</w:t>
            </w:r>
          </w:p>
        </w:tc>
      </w:tr>
      <w:tr>
        <w:tc>
          <w:tcPr>
            <w:tcW w:type="dxa" w:w="4536"/>
          </w:tcPr>
          <w:p>
            <w:r>
              <w:rPr>
                <w:rFonts w:ascii="Times New Roman" w:hAnsi="Times New Roman"/>
                <w:sz w:val="20"/>
              </w:rPr>
              <w:t>Tachographdaten als Beweis</w:t>
            </w:r>
          </w:p>
        </w:tc>
        <w:tc>
          <w:tcPr>
            <w:tcW w:type="dxa" w:w="4536"/>
          </w:tcPr>
          <w:p>
            <w:r>
              <w:rPr>
                <w:rFonts w:ascii="Times New Roman" w:hAnsi="Times New Roman"/>
                <w:sz w:val="20"/>
              </w:rPr>
              <w:t>Verwertbar im Zivil- und OWi-Verfahren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