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HGB §§ 425 ff. — Nationale Haftungsgrundlagen und Abgrenzung zur CMR</w:t>
      </w:r>
    </w:p>
    <w:p>
      <w:pPr>
        <w:jc w:val="left"/>
      </w:pPr>
      <w:r>
        <w:t>Akte: Rechtsgutachten / CMR vs. HGB</w:t>
      </w:r>
    </w:p>
    <w:p>
      <w:pPr>
        <w:jc w:val="left"/>
      </w:pPr>
      <w:r>
        <w:t>Verfasserin: RAin Dr. Antonia Hammerschmidt</w:t>
      </w:r>
    </w:p>
    <w:p>
      <w:pPr>
        <w:jc w:val="left"/>
      </w:pPr>
      <w:r>
        <w:t>Stand: 25. April 2026</w:t>
      </w:r>
    </w:p>
    <w:p/>
    <w:p>
      <w:pPr>
        <w:pStyle w:val="Heading2"/>
      </w:pPr>
      <w:r>
        <w:rPr>
          <w:rFonts w:ascii="Times New Roman" w:hAnsi="Times New Roman"/>
        </w:rPr>
        <w:t>1. Verhältnis CMR zu §§ 425 ff. HGB</w:t>
      </w:r>
    </w:p>
    <w:p>
      <w:pPr>
        <w:pStyle w:val="Heading3"/>
      </w:pPr>
      <w:r>
        <w:rPr>
          <w:rFonts w:ascii="Times New Roman" w:hAnsi="Times New Roman"/>
        </w:rPr>
        <w:t>1.1 Grundsatz: CMR verdrängt HGB</w:t>
      </w:r>
    </w:p>
    <w:p>
      <w:pPr>
        <w:jc w:val="left"/>
      </w:pPr>
      <w:r>
        <w:t>Für internationale Straßengüterkraftverkehrsverträge, bei denen Übernahme- und Ablieferungsort in verschiedenen Vertragsstaaten der CMR liegen, verdrängt die CMR als spezielle internationale Konvention die nationalen Frachtrecht-Vorschriften der §§ 407 ff. HGB (einschließlich §§ 425 ff. HGB) vollständig (Art. 1 Abs. 1 CMR, BGH, Urt. v. 06.02.1997 — I ZR 202/94, NJW 1997, 2671).</w:t>
      </w:r>
    </w:p>
    <w:p>
      <w:pPr>
        <w:jc w:val="left"/>
      </w:pPr>
      <w:r>
        <w:rPr>
          <w:b/>
        </w:rPr>
        <w:t>Für den Hauptfall (Wuppertal → Lyon):</w:t>
      </w:r>
      <w:r>
        <w:t xml:space="preserve"> CMR ist maßgeblich; §§ 425 ff. HGB sind nicht anwendbar.</w:t>
      </w:r>
    </w:p>
    <w:p>
      <w:pPr>
        <w:jc w:val="left"/>
      </w:pPr>
      <w:r>
        <w:rPr>
          <w:b/>
        </w:rPr>
        <w:t>Ausnahmen (für Einzelaspekte dieser Akte):</w:t>
      </w:r>
    </w:p>
    <w:p>
      <w:pPr>
        <w:pStyle w:val="ListBullet"/>
      </w:pPr>
      <w:r>
        <w:t>Nationale Transporte (Boeschke-Regressfall auf BAB A7): HGB §§ 425 ff. sind maßgeblich</w:t>
      </w:r>
    </w:p>
    <w:p>
      <w:pPr>
        <w:pStyle w:val="ListBullet"/>
      </w:pPr>
      <w:r>
        <w:t>Innenverhältnis Schwarmstedt/Petrescu (Subfrachtvertrag): Kann deutschem Recht unterstehen (Parteiautonomie, Art. 3 Rom-I-VO), dann §§ 425 ff. HGB anwendbar</w:t>
      </w:r>
    </w:p>
    <w:p>
      <w:pPr>
        <w:pStyle w:val="Heading3"/>
      </w:pPr>
      <w:r>
        <w:rPr>
          <w:rFonts w:ascii="Times New Roman" w:hAnsi="Times New Roman"/>
        </w:rPr>
        <w:t>1.2 Anwendung HGB im Innenverhältnis Schwarmstedt/Petrescu</w:t>
      </w:r>
    </w:p>
    <w:p>
      <w:pPr>
        <w:jc w:val="left"/>
      </w:pPr>
      <w:r>
        <w:t>Der Subfrachtvertrag zwischen Schwarmstedt Logistik GmbH und Petrescu Transport SRL wurde nach deutschem Recht geschlossen (§ 11 Subfrachtvertrag: "Es gilt deutsches Recht"). Damit sind auf das Innenverhältnis §§ 425 ff. HGB anwendbar.</w:t>
      </w:r>
    </w:p>
    <w:p/>
    <w:p>
      <w:pPr>
        <w:pStyle w:val="Heading2"/>
      </w:pPr>
      <w:r>
        <w:rPr>
          <w:rFonts w:ascii="Times New Roman" w:hAnsi="Times New Roman"/>
        </w:rPr>
        <w:t>2. § 425 HGB — Grundtatbestand Frachtführerhaftung</w:t>
      </w:r>
    </w:p>
    <w:p>
      <w:pPr>
        <w:pStyle w:val="Heading3"/>
      </w:pPr>
      <w:r>
        <w:rPr>
          <w:rFonts w:ascii="Times New Roman" w:hAnsi="Times New Roman"/>
        </w:rPr>
        <w:t>2.1 Normtext</w:t>
      </w:r>
    </w:p>
    <w:p>
      <w:pPr>
        <w:jc w:val="left"/>
      </w:pPr>
      <w:r>
        <w:t>§ 425 Abs. 1 HGB: "Der Frachtführer haftet für den Schaden, der durch Verlust oder Beschädigung des Gutes in der Zeit von der Übernahme zur Beförderung bis zur Ablieferung oder durch Überschreitung der Lieferfrist entsteht, es sei denn, dass der Schaden durch die Sorgfalt eines ordentlichen Frachtführers nicht abgewendet werden konnte."</w:t>
      </w:r>
    </w:p>
    <w:p>
      <w:pPr>
        <w:jc w:val="left"/>
      </w:pPr>
      <w:r>
        <w:t>§ 425 Abs. 2 HGB: "Soweit der Schaden durch einen der in § 427 Abs. 1 genannten Umstände entstanden ist, wird vermutet, dass er durch diesen entstanden ist."</w:t>
      </w:r>
    </w:p>
    <w:p>
      <w:pPr>
        <w:pStyle w:val="Heading3"/>
      </w:pPr>
      <w:r>
        <w:rPr>
          <w:rFonts w:ascii="Times New Roman" w:hAnsi="Times New Roman"/>
        </w:rPr>
        <w:t>2.2 Haftungsmaßstab § 425 HGB vs. Art. 17 CMR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Art. 17 CMR</w:t>
            </w:r>
          </w:p>
        </w:tc>
        <w:tc>
          <w:tcPr>
            <w:tcW w:type="dxa" w:w="3024"/>
          </w:tcPr>
          <w:p>
            <w:r>
              <w:rPr>
                <w:rFonts w:ascii="Times New Roman" w:hAnsi="Times New Roman"/>
                <w:b/>
                <w:sz w:val="20"/>
              </w:rPr>
              <w:t>§ 425 HGB</w:t>
            </w:r>
          </w:p>
        </w:tc>
      </w:tr>
      <w:tr>
        <w:tc>
          <w:tcPr>
            <w:tcW w:type="dxa" w:w="3024"/>
          </w:tcPr>
          <w:p>
            <w:r>
              <w:rPr>
                <w:rFonts w:ascii="Times New Roman" w:hAnsi="Times New Roman"/>
                <w:sz w:val="20"/>
              </w:rPr>
              <w:t>Haftungsgrund</w:t>
            </w:r>
          </w:p>
        </w:tc>
        <w:tc>
          <w:tcPr>
            <w:tcW w:type="dxa" w:w="3024"/>
          </w:tcPr>
          <w:p>
            <w:r>
              <w:rPr>
                <w:rFonts w:ascii="Times New Roman" w:hAnsi="Times New Roman"/>
                <w:sz w:val="20"/>
              </w:rPr>
              <w:t>Übernahme bis Ablieferung</w:t>
            </w:r>
          </w:p>
        </w:tc>
        <w:tc>
          <w:tcPr>
            <w:tcW w:type="dxa" w:w="3024"/>
          </w:tcPr>
          <w:p>
            <w:r>
              <w:rPr>
                <w:rFonts w:ascii="Times New Roman" w:hAnsi="Times New Roman"/>
                <w:sz w:val="20"/>
              </w:rPr>
              <w:t>Übernahme bis Ablieferung</w:t>
            </w:r>
          </w:p>
        </w:tc>
      </w:tr>
      <w:tr>
        <w:tc>
          <w:tcPr>
            <w:tcW w:type="dxa" w:w="3024"/>
          </w:tcPr>
          <w:p>
            <w:r>
              <w:rPr>
                <w:rFonts w:ascii="Times New Roman" w:hAnsi="Times New Roman"/>
                <w:sz w:val="20"/>
              </w:rPr>
              <w:t>Exkulpation</w:t>
            </w:r>
          </w:p>
        </w:tc>
        <w:tc>
          <w:tcPr>
            <w:tcW w:type="dxa" w:w="3024"/>
          </w:tcPr>
          <w:p>
            <w:r>
              <w:rPr>
                <w:rFonts w:ascii="Times New Roman" w:hAnsi="Times New Roman"/>
                <w:sz w:val="20"/>
              </w:rPr>
              <w:t>Art. 17 Abs. 2 CMR: nicht vermeidbare Umstände</w:t>
            </w:r>
          </w:p>
        </w:tc>
        <w:tc>
          <w:tcPr>
            <w:tcW w:type="dxa" w:w="3024"/>
          </w:tcPr>
          <w:p>
            <w:r>
              <w:rPr>
                <w:rFonts w:ascii="Times New Roman" w:hAnsi="Times New Roman"/>
                <w:sz w:val="20"/>
              </w:rPr>
              <w:t>§ 425 Abs. 1: Sorgfalt ordentlicher Frachtführer</w:t>
            </w:r>
          </w:p>
        </w:tc>
      </w:tr>
      <w:tr>
        <w:tc>
          <w:tcPr>
            <w:tcW w:type="dxa" w:w="3024"/>
          </w:tcPr>
          <w:p>
            <w:r>
              <w:rPr>
                <w:rFonts w:ascii="Times New Roman" w:hAnsi="Times New Roman"/>
                <w:sz w:val="20"/>
              </w:rPr>
              <w:t>Beweislast</w:t>
            </w:r>
          </w:p>
        </w:tc>
        <w:tc>
          <w:tcPr>
            <w:tcW w:type="dxa" w:w="3024"/>
          </w:tcPr>
          <w:p>
            <w:r>
              <w:rPr>
                <w:rFonts w:ascii="Times New Roman" w:hAnsi="Times New Roman"/>
                <w:sz w:val="20"/>
              </w:rPr>
              <w:t>Frachtführer trägt Exkulpationslast</w:t>
            </w:r>
          </w:p>
        </w:tc>
        <w:tc>
          <w:tcPr>
            <w:tcW w:type="dxa" w:w="3024"/>
          </w:tcPr>
          <w:p>
            <w:r>
              <w:rPr>
                <w:rFonts w:ascii="Times New Roman" w:hAnsi="Times New Roman"/>
                <w:sz w:val="20"/>
              </w:rPr>
              <w:t>Frachtführer trägt Exkulpationslast</w:t>
            </w:r>
          </w:p>
        </w:tc>
      </w:tr>
      <w:tr>
        <w:tc>
          <w:tcPr>
            <w:tcW w:type="dxa" w:w="3024"/>
          </w:tcPr>
          <w:p>
            <w:r>
              <w:rPr>
                <w:rFonts w:ascii="Times New Roman" w:hAnsi="Times New Roman"/>
                <w:sz w:val="20"/>
              </w:rPr>
              <w:t>Haftungsgrenze</w:t>
            </w:r>
          </w:p>
        </w:tc>
        <w:tc>
          <w:tcPr>
            <w:tcW w:type="dxa" w:w="3024"/>
          </w:tcPr>
          <w:p>
            <w:r>
              <w:rPr>
                <w:rFonts w:ascii="Times New Roman" w:hAnsi="Times New Roman"/>
                <w:sz w:val="20"/>
              </w:rPr>
              <w:t>Art. 23 Abs. 3 CMR: 8,33 SZR/kg</w:t>
            </w:r>
          </w:p>
        </w:tc>
        <w:tc>
          <w:tcPr>
            <w:tcW w:type="dxa" w:w="3024"/>
          </w:tcPr>
          <w:p>
            <w:r>
              <w:rPr>
                <w:rFonts w:ascii="Times New Roman" w:hAnsi="Times New Roman"/>
                <w:sz w:val="20"/>
              </w:rPr>
              <w:t>§ 431 Abs. 1 HGB: 8,33 SZR/kg (identisch!)</w:t>
            </w:r>
          </w:p>
        </w:tc>
      </w:tr>
      <w:tr>
        <w:tc>
          <w:tcPr>
            <w:tcW w:type="dxa" w:w="3024"/>
          </w:tcPr>
          <w:p>
            <w:r>
              <w:rPr>
                <w:rFonts w:ascii="Times New Roman" w:hAnsi="Times New Roman"/>
                <w:sz w:val="20"/>
              </w:rPr>
              <w:t>Grobe Verschulden</w:t>
            </w:r>
          </w:p>
        </w:tc>
        <w:tc>
          <w:tcPr>
            <w:tcW w:type="dxa" w:w="3024"/>
          </w:tcPr>
          <w:p>
            <w:r>
              <w:rPr>
                <w:rFonts w:ascii="Times New Roman" w:hAnsi="Times New Roman"/>
                <w:sz w:val="20"/>
              </w:rPr>
              <w:t>Art. 29 CMR</w:t>
            </w:r>
          </w:p>
        </w:tc>
        <w:tc>
          <w:tcPr>
            <w:tcW w:type="dxa" w:w="3024"/>
          </w:tcPr>
          <w:p>
            <w:r>
              <w:rPr>
                <w:rFonts w:ascii="Times New Roman" w:hAnsi="Times New Roman"/>
                <w:sz w:val="20"/>
              </w:rPr>
              <w:t>§ 435 HGB (identische Struktur)</w:t>
            </w:r>
          </w:p>
        </w:tc>
      </w:tr>
    </w:tbl>
    <w:p>
      <w:pPr>
        <w:jc w:val="left"/>
      </w:pPr>
      <w:r>
        <w:rPr>
          <w:b/>
        </w:rPr>
        <w:t>Fazit:</w:t>
      </w:r>
      <w:r>
        <w:t xml:space="preserve"> Die materiellen Regelungen sind nahezu identisch. Die Haftungsgrenzen sind sogar zahlenmäßig gleich (§ 431 Abs. 1 HGB: "8,33 Rechnungseinheiten für jedes Kilogramm des Rohgewichts"). Die BGH-Rechtsprechung zu § 435 HGB wird auf Art. 29 CMR übertragen und umgekehrt.</w:t>
      </w:r>
    </w:p>
    <w:p/>
    <w:p>
      <w:pPr>
        <w:pStyle w:val="Heading2"/>
      </w:pPr>
      <w:r>
        <w:rPr>
          <w:rFonts w:ascii="Times New Roman" w:hAnsi="Times New Roman"/>
        </w:rPr>
        <w:t>3. § 431 HGB — Haftungshöchstbetrag (nationale Entsprechung zu Art. 23 Abs. 3 CMR)</w:t>
      </w:r>
    </w:p>
    <w:p>
      <w:pPr>
        <w:jc w:val="left"/>
      </w:pPr>
      <w:r>
        <w:t>§ 431 Abs. 1 HGB: "Im Falle des Verlustes oder der Beschädigung ist der Frachtführer verpflichtet, den Wert des Gutes am Ort und zur Zeit der Übernahme zur Beförderung zu ersetzen. Er haftet jedoch höchstens mit einem Betrag von 8,33 Rechnungseinheiten für jedes Kilogramm des Rohgewichts des Gutes."</w:t>
      </w:r>
    </w:p>
    <w:p>
      <w:pPr>
        <w:jc w:val="left"/>
      </w:pPr>
      <w:r>
        <w:t>§ 431 Abs. 4 HGB: "Als Rechnungseinheit gilt das Sonderziehungsrecht."</w:t>
      </w:r>
    </w:p>
    <w:p>
      <w:pPr>
        <w:jc w:val="left"/>
      </w:pPr>
      <w:r>
        <w:t>Die Parallelität zu Art. 23 Abs. 3 CMR ist vollständig — beide Normen wurden im Zuge der Transportrechtsreform 1998 bewusst harmonisiert (BT-Drucks. 13/8445, S. 57).</w:t>
      </w:r>
    </w:p>
    <w:p/>
    <w:p>
      <w:pPr>
        <w:pStyle w:val="Heading2"/>
      </w:pPr>
      <w:r>
        <w:rPr>
          <w:rFonts w:ascii="Times New Roman" w:hAnsi="Times New Roman"/>
        </w:rPr>
        <w:t>4. § 435 HGB — Grobes Verschulden (nationale Entsprechung zu Art. 29 CMR)</w:t>
      </w:r>
    </w:p>
    <w:p>
      <w:pPr>
        <w:jc w:val="left"/>
      </w:pPr>
      <w:r>
        <w:t>§ 435 HGB: "Die in diesem Unterabschnitt und im Frachtvertrag vorgesehenen Haftungsbefreiungen und Haftungsbegrenzungen gelten nicht, wenn der Schaden auf eine Handlung oder Unterlassung zurückzuführen ist, die der Frachtführer oder eine in § 428 Satz 1 genannte Person vorsätzlich oder leichtfertig und in dem Bewusstsein begangen hat, dass ein Schaden mit Wahrscheinlichkeit eintreten werde."</w:t>
      </w:r>
    </w:p>
    <w:p>
      <w:pPr>
        <w:jc w:val="left"/>
      </w:pPr>
      <w:r>
        <w:t>Dies entspricht vollständig dem BGH-Maßstab zu Art. 29 CMR:</w:t>
      </w:r>
    </w:p>
    <w:p>
      <w:pPr>
        <w:pStyle w:val="ListBullet"/>
      </w:pPr>
      <w:r>
        <w:t>Leichtfertigkeit (objektive Komponente)</w:t>
      </w:r>
    </w:p>
    <w:p>
      <w:pPr>
        <w:pStyle w:val="ListBullet"/>
      </w:pPr>
      <w:r>
        <w:t>Bewusstsein der Wahrscheinlichkeit des Schadenseintritts (subjektive Komponente)</w:t>
      </w:r>
    </w:p>
    <w:p>
      <w:pPr>
        <w:jc w:val="left"/>
      </w:pPr>
      <w:r>
        <w:rPr>
          <w:b/>
        </w:rPr>
        <w:t>Relevanz:</w:t>
      </w:r>
      <w:r>
        <w:t xml:space="preserve"> Im Regressprozess Schwarmstedt gegen Petrescu Transport SRL (Innenverhältnis, deutsches Recht) gilt § 435 HGB. Für Schwarmstedts Regresschance ist entscheidend: Hat Catalin Petrescu leichtfertig gehandelt? Wenn ja, verliert Petrescu seine Haftungsbeschränkung gegenüber Schwarmstedt.</w:t>
      </w:r>
    </w:p>
    <w:p/>
    <w:p>
      <w:pPr>
        <w:pStyle w:val="Heading2"/>
      </w:pPr>
      <w:r>
        <w:rPr>
          <w:rFonts w:ascii="Times New Roman" w:hAnsi="Times New Roman"/>
        </w:rPr>
        <w:t>5. § 414 HGB — Absenderhaftung (für Boeschke-Regressfall)</w:t>
      </w:r>
    </w:p>
    <w:p>
      <w:pPr>
        <w:jc w:val="left"/>
      </w:pPr>
      <w:r>
        <w:t>Für den nationalen Überladungsfall (Boeschke Kühl &amp; Frische GmbH):</w:t>
      </w:r>
    </w:p>
    <w:p>
      <w:pPr>
        <w:jc w:val="left"/>
      </w:pPr>
      <w:r>
        <w:t>§ 414 HGB Abs. 1: "Der Absender haftet dem Frachtführer für alle Schäden und Aufwendungen, die dadurch entstehen, dass die zur Erfüllung des Frachtvertrags erforderlichen Angaben und Informationen [...] unrichtig oder unvollständig sind."</w:t>
      </w:r>
    </w:p>
    <w:p>
      <w:pPr>
        <w:jc w:val="left"/>
      </w:pPr>
      <w:r>
        <w:t>§ 414 Abs. 2: "Der Absender ist, soweit der Frachtführer den Schaden nicht durch zumutbare Maßnahmen abwenden konnte, verantwortlich."</w:t>
      </w:r>
    </w:p>
    <w:p>
      <w:pPr>
        <w:jc w:val="left"/>
      </w:pPr>
      <w:r>
        <w:t>Im Boeschke-Fall: Die Gewichtsangabe im Lieferschein (26.400 kg netto) war nach DEKRA-Gutachten unrichtig (tatsächlich 4.200 kg mehr). Schwarmstedt hat die Angabe übernommen. Kann Schwarmstedt nach § 414 HGB haften? Nein — § 414 HGB richtet sich gegen den Absender (Boeschke), nicht gegen den Frachtführer (Schwarmstedt).</w:t>
      </w:r>
    </w:p>
    <w:p/>
    <w:p>
      <w:pPr>
        <w:pStyle w:val="Heading2"/>
      </w:pPr>
      <w:r>
        <w:rPr>
          <w:rFonts w:ascii="Times New Roman" w:hAnsi="Times New Roman"/>
        </w:rPr>
        <w:t>6. §§ 437, 438 HGB — Verjährung</w:t>
      </w:r>
    </w:p>
    <w:p>
      <w:pPr>
        <w:jc w:val="left"/>
      </w:pPr>
      <w:r>
        <w:t>§ 437 HGB: Schadensersatzansprüche gegen den Frachtführer verjähren in einem Jahr (§ 439 Abs. 1 HGB; bei Vorsatz: 3 Jahre).</w:t>
      </w:r>
    </w:p>
    <w:p>
      <w:pPr>
        <w:jc w:val="left"/>
      </w:pPr>
      <w:r>
        <w:t>Für die CMR gilt Art. 32 CMR: Ansprüche verjähren in einem Jahr (bei Arglist: 3 Jahre). Verjährungsbeginn: Tag der Ablieferung (oder bei Verlust: Tag der vereinbarten Lieferung).</w:t>
      </w:r>
    </w:p>
    <w:p>
      <w:pPr>
        <w:jc w:val="left"/>
      </w:pPr>
      <w:r>
        <w:t>Im vorliegenden Fall: Ablieferung am 14. Januar 2026 (Ankunft Lyon, Annahme verweigert). Die Klage wurde am 02. März 2026 eingereicht — also innerhalb von 47 Tagen nach dem Schadenstag. Keine Verjährungsprobleme.</w:t>
      </w:r>
    </w:p>
    <w:p/>
    <w:p>
      <w:pPr>
        <w:pStyle w:val="Heading2"/>
      </w:pPr>
      <w:r>
        <w:rPr>
          <w:rFonts w:ascii="Times New Roman" w:hAnsi="Times New Roman"/>
        </w:rPr>
        <w:t>7. § 22 StVO / § 425 HGB — Haftungspyramide Boeschke</w:t>
      </w:r>
    </w:p>
    <w:p>
      <w:pPr>
        <w:jc w:val="left"/>
      </w:pPr>
      <w:r>
        <w:t>Für den Boeschke-Regressfall ergibt sich folgende Haftungspyramide:</w:t>
      </w:r>
    </w:p>
    <w:p>
      <w:pPr>
        <w:jc w:val="left"/>
      </w:pPr>
      <w:r>
        <w:t>```</w:t>
      </w:r>
    </w:p>
    <w:p>
      <w:pPr>
        <w:jc w:val="left"/>
      </w:pPr>
      <w:r>
        <w:t>Schwarmstedt Logistik GmbH</w:t>
      </w:r>
    </w:p>
    <w:p>
      <w:pPr>
        <w:jc w:val="left"/>
      </w:pPr>
      <w:r>
        <w:t>(Frachtführer, Fahrzeughalter)</w:t>
      </w:r>
    </w:p>
    <w:p>
      <w:pPr>
        <w:jc w:val="left"/>
      </w:pPr>
      <w:r>
        <w:t>↕ primäre Haftung nach § 7 StVG / § 31 StVZO gegenüber Dritten</w:t>
      </w:r>
    </w:p>
    <w:p>
      <w:pPr>
        <w:jc w:val="left"/>
      </w:pPr>
      <w:r>
        <w:t>Boeschke Kühl &amp; Frische GmbH</w:t>
      </w:r>
    </w:p>
    <w:p>
      <w:pPr>
        <w:jc w:val="left"/>
      </w:pPr>
      <w:r>
        <w:t>(Verlader)</w:t>
      </w:r>
    </w:p>
    <w:p>
      <w:pPr>
        <w:jc w:val="left"/>
      </w:pPr>
      <w:r>
        <w:t>↕ Haftung nach § 414 HGB (Absender) / § 22 StVO (Verlader)</w:t>
      </w:r>
    </w:p>
    <w:p>
      <w:pPr>
        <w:jc w:val="left"/>
      </w:pPr>
      <w:r>
        <w:t>↕ Regressanspruch Schwarmstedt nach § 280 BGB i.V.m. § 414 HGB</w:t>
      </w:r>
    </w:p>
    <w:p>
      <w:pPr>
        <w:jc w:val="left"/>
      </w:pPr>
      <w:r>
        <w:t>```</w:t>
      </w:r>
    </w:p>
    <w:p>
      <w:pPr>
        <w:jc w:val="left"/>
      </w:pPr>
      <w:r>
        <w:rPr>
          <w:b/>
        </w:rPr>
        <w:t>Für den Regress gilt:</w:t>
      </w:r>
      <w:r>
        <w:t xml:space="preserve"> Schwarmstedt muss als Frachtführer nach außen (gegenüber der Polizei, dem BALM, ggf. Dritten) haften, kann aber nach innen bei Boeschke Regress nehmen.</w:t>
      </w:r>
    </w:p>
    <w:p/>
    <w:p>
      <w:pPr>
        <w:pStyle w:val="Heading2"/>
      </w:pPr>
      <w:r>
        <w:rPr>
          <w:rFonts w:ascii="Times New Roman" w:hAnsi="Times New Roman"/>
        </w:rPr>
        <w:t>8. Rechtsprechungsübersicht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Gericht</w:t>
            </w:r>
          </w:p>
        </w:tc>
        <w:tc>
          <w:tcPr>
            <w:tcW w:type="dxa" w:w="2268"/>
          </w:tcPr>
          <w:p>
            <w:r>
              <w:rPr>
                <w:rFonts w:ascii="Times New Roman" w:hAnsi="Times New Roman"/>
                <w:b/>
                <w:sz w:val="20"/>
              </w:rPr>
              <w:t>Az.</w:t>
            </w:r>
          </w:p>
        </w:tc>
        <w:tc>
          <w:tcPr>
            <w:tcW w:type="dxa" w:w="2268"/>
          </w:tcPr>
          <w:p>
            <w:r>
              <w:rPr>
                <w:rFonts w:ascii="Times New Roman" w:hAnsi="Times New Roman"/>
                <w:b/>
                <w:sz w:val="20"/>
              </w:rPr>
              <w:t>Thema</w:t>
            </w:r>
          </w:p>
        </w:tc>
        <w:tc>
          <w:tcPr>
            <w:tcW w:type="dxa" w:w="2268"/>
          </w:tcPr>
          <w:p>
            <w:r>
              <w:rPr>
                <w:rFonts w:ascii="Times New Roman" w:hAnsi="Times New Roman"/>
                <w:b/>
                <w:sz w:val="20"/>
              </w:rPr>
              <w:t>Aussage</w:t>
            </w:r>
          </w:p>
        </w:tc>
      </w:tr>
      <w:tr>
        <w:tc>
          <w:tcPr>
            <w:tcW w:type="dxa" w:w="2268"/>
          </w:tcPr>
          <w:p>
            <w:r>
              <w:rPr>
                <w:rFonts w:ascii="Times New Roman" w:hAnsi="Times New Roman"/>
                <w:sz w:val="20"/>
              </w:rPr>
              <w:t>BGH</w:t>
            </w:r>
          </w:p>
        </w:tc>
        <w:tc>
          <w:tcPr>
            <w:tcW w:type="dxa" w:w="2268"/>
          </w:tcPr>
          <w:p>
            <w:r>
              <w:rPr>
                <w:rFonts w:ascii="Times New Roman" w:hAnsi="Times New Roman"/>
                <w:sz w:val="20"/>
              </w:rPr>
              <w:t>I ZR 128/00</w:t>
            </w:r>
          </w:p>
        </w:tc>
        <w:tc>
          <w:tcPr>
            <w:tcW w:type="dxa" w:w="2268"/>
          </w:tcPr>
          <w:p>
            <w:r>
              <w:rPr>
                <w:rFonts w:ascii="Times New Roman" w:hAnsi="Times New Roman"/>
                <w:sz w:val="20"/>
              </w:rPr>
              <w:t>Art. 29 CMR / § 435 HGB</w:t>
            </w:r>
          </w:p>
        </w:tc>
        <w:tc>
          <w:tcPr>
            <w:tcW w:type="dxa" w:w="2268"/>
          </w:tcPr>
          <w:p>
            <w:r>
              <w:rPr>
                <w:rFonts w:ascii="Times New Roman" w:hAnsi="Times New Roman"/>
                <w:sz w:val="20"/>
              </w:rPr>
              <w:t>Leichtfertigkeit erfordert subjektives Bewusstseinsmoment</w:t>
            </w:r>
          </w:p>
        </w:tc>
      </w:tr>
      <w:tr>
        <w:tc>
          <w:tcPr>
            <w:tcW w:type="dxa" w:w="2268"/>
          </w:tcPr>
          <w:p>
            <w:r>
              <w:rPr>
                <w:rFonts w:ascii="Times New Roman" w:hAnsi="Times New Roman"/>
                <w:sz w:val="20"/>
              </w:rPr>
              <w:t>BGH</w:t>
            </w:r>
          </w:p>
        </w:tc>
        <w:tc>
          <w:tcPr>
            <w:tcW w:type="dxa" w:w="2268"/>
          </w:tcPr>
          <w:p>
            <w:r>
              <w:rPr>
                <w:rFonts w:ascii="Times New Roman" w:hAnsi="Times New Roman"/>
                <w:sz w:val="20"/>
              </w:rPr>
              <w:t>I ZR 95/01</w:t>
            </w:r>
          </w:p>
        </w:tc>
        <w:tc>
          <w:tcPr>
            <w:tcW w:type="dxa" w:w="2268"/>
          </w:tcPr>
          <w:p>
            <w:r>
              <w:rPr>
                <w:rFonts w:ascii="Times New Roman" w:hAnsi="Times New Roman"/>
                <w:sz w:val="20"/>
              </w:rPr>
              <w:t>§ 435 HGB</w:t>
            </w:r>
          </w:p>
        </w:tc>
        <w:tc>
          <w:tcPr>
            <w:tcW w:type="dxa" w:w="2268"/>
          </w:tcPr>
          <w:p>
            <w:r>
              <w:rPr>
                <w:rFonts w:ascii="Times New Roman" w:hAnsi="Times New Roman"/>
                <w:sz w:val="20"/>
              </w:rPr>
              <w:t>Kein grobes Verschulden bei Schlafen des Fahrers (wenn kein Alarmwissen)</w:t>
            </w:r>
          </w:p>
        </w:tc>
      </w:tr>
      <w:tr>
        <w:tc>
          <w:tcPr>
            <w:tcW w:type="dxa" w:w="2268"/>
          </w:tcPr>
          <w:p>
            <w:r>
              <w:rPr>
                <w:rFonts w:ascii="Times New Roman" w:hAnsi="Times New Roman"/>
                <w:sz w:val="20"/>
              </w:rPr>
              <w:t>OLG Hamburg</w:t>
            </w:r>
          </w:p>
        </w:tc>
        <w:tc>
          <w:tcPr>
            <w:tcW w:type="dxa" w:w="2268"/>
          </w:tcPr>
          <w:p>
            <w:r>
              <w:rPr>
                <w:rFonts w:ascii="Times New Roman" w:hAnsi="Times New Roman"/>
                <w:sz w:val="20"/>
              </w:rPr>
              <w:t>6 U 62/14</w:t>
            </w:r>
          </w:p>
        </w:tc>
        <w:tc>
          <w:tcPr>
            <w:tcW w:type="dxa" w:w="2268"/>
          </w:tcPr>
          <w:p>
            <w:r>
              <w:rPr>
                <w:rFonts w:ascii="Times New Roman" w:hAnsi="Times New Roman"/>
                <w:sz w:val="20"/>
              </w:rPr>
              <w:t>Art. 29 CMR</w:t>
            </w:r>
          </w:p>
        </w:tc>
        <w:tc>
          <w:tcPr>
            <w:tcW w:type="dxa" w:w="2268"/>
          </w:tcPr>
          <w:p>
            <w:r>
              <w:rPr>
                <w:rFonts w:ascii="Times New Roman" w:hAnsi="Times New Roman"/>
                <w:sz w:val="20"/>
              </w:rPr>
              <w:t>Beweislast Kläger für grobes Verschulden</w:t>
            </w:r>
          </w:p>
        </w:tc>
      </w:tr>
      <w:tr>
        <w:tc>
          <w:tcPr>
            <w:tcW w:type="dxa" w:w="2268"/>
          </w:tcPr>
          <w:p>
            <w:r>
              <w:rPr>
                <w:rFonts w:ascii="Times New Roman" w:hAnsi="Times New Roman"/>
                <w:sz w:val="20"/>
              </w:rPr>
              <w:t>OLG Köln</w:t>
            </w:r>
          </w:p>
        </w:tc>
        <w:tc>
          <w:tcPr>
            <w:tcW w:type="dxa" w:w="2268"/>
          </w:tcPr>
          <w:p>
            <w:r>
              <w:rPr>
                <w:rFonts w:ascii="Times New Roman" w:hAnsi="Times New Roman"/>
                <w:sz w:val="20"/>
              </w:rPr>
              <w:t>3 U 122/19</w:t>
            </w:r>
          </w:p>
        </w:tc>
        <w:tc>
          <w:tcPr>
            <w:tcW w:type="dxa" w:w="2268"/>
          </w:tcPr>
          <w:p>
            <w:r>
              <w:rPr>
                <w:rFonts w:ascii="Times New Roman" w:hAnsi="Times New Roman"/>
                <w:sz w:val="20"/>
              </w:rPr>
              <w:t>§ 431 HGB</w:t>
            </w:r>
          </w:p>
        </w:tc>
        <w:tc>
          <w:tcPr>
            <w:tcW w:type="dxa" w:w="2268"/>
          </w:tcPr>
          <w:p>
            <w:r>
              <w:rPr>
                <w:rFonts w:ascii="Times New Roman" w:hAnsi="Times New Roman"/>
                <w:sz w:val="20"/>
              </w:rPr>
              <w:t>SZR-Kurs zum Urteilszeitpunkt maßgeblich</w:t>
            </w:r>
          </w:p>
        </w:tc>
      </w:tr>
      <w:tr>
        <w:tc>
          <w:tcPr>
            <w:tcW w:type="dxa" w:w="2268"/>
          </w:tcPr>
          <w:p>
            <w:r>
              <w:rPr>
                <w:rFonts w:ascii="Times New Roman" w:hAnsi="Times New Roman"/>
                <w:sz w:val="20"/>
              </w:rPr>
              <w:t>BGH</w:t>
            </w:r>
          </w:p>
        </w:tc>
        <w:tc>
          <w:tcPr>
            <w:tcW w:type="dxa" w:w="2268"/>
          </w:tcPr>
          <w:p>
            <w:r>
              <w:rPr>
                <w:rFonts w:ascii="Times New Roman" w:hAnsi="Times New Roman"/>
                <w:sz w:val="20"/>
              </w:rPr>
              <w:t>I ZR 44/96</w:t>
            </w:r>
          </w:p>
        </w:tc>
        <w:tc>
          <w:tcPr>
            <w:tcW w:type="dxa" w:w="2268"/>
          </w:tcPr>
          <w:p>
            <w:r>
              <w:rPr>
                <w:rFonts w:ascii="Times New Roman" w:hAnsi="Times New Roman"/>
                <w:sz w:val="20"/>
              </w:rPr>
              <w:t>CMR Diebstahl</w:t>
            </w:r>
          </w:p>
        </w:tc>
        <w:tc>
          <w:tcPr>
            <w:tcW w:type="dxa" w:w="2268"/>
          </w:tcPr>
          <w:p>
            <w:r>
              <w:rPr>
                <w:rFonts w:ascii="Times New Roman" w:hAnsi="Times New Roman"/>
                <w:sz w:val="20"/>
              </w:rPr>
              <w:t>Diebstahl ist kein unabwendbares Ereignis i.S.v. Art. 17 Abs. 2 CMR</w:t>
            </w:r>
          </w:p>
        </w:tc>
      </w:tr>
      <w:tr>
        <w:tc>
          <w:tcPr>
            <w:tcW w:type="dxa" w:w="2268"/>
          </w:tcPr>
          <w:p>
            <w:r>
              <w:rPr>
                <w:rFonts w:ascii="Times New Roman" w:hAnsi="Times New Roman"/>
                <w:sz w:val="20"/>
              </w:rPr>
              <w:t>LG Hamburg</w:t>
            </w:r>
          </w:p>
        </w:tc>
        <w:tc>
          <w:tcPr>
            <w:tcW w:type="dxa" w:w="2268"/>
          </w:tcPr>
          <w:p>
            <w:r>
              <w:rPr>
                <w:rFonts w:ascii="Times New Roman" w:hAnsi="Times New Roman"/>
                <w:sz w:val="20"/>
              </w:rPr>
              <w:t>327 O 41/21</w:t>
            </w:r>
          </w:p>
        </w:tc>
        <w:tc>
          <w:tcPr>
            <w:tcW w:type="dxa" w:w="2268"/>
          </w:tcPr>
          <w:p>
            <w:r>
              <w:rPr>
                <w:rFonts w:ascii="Times New Roman" w:hAnsi="Times New Roman"/>
                <w:sz w:val="20"/>
              </w:rPr>
              <w:t>AVB-Spedition / Obliegenheit</w:t>
            </w:r>
          </w:p>
        </w:tc>
        <w:tc>
          <w:tcPr>
            <w:tcW w:type="dxa" w:w="2268"/>
          </w:tcPr>
          <w:p>
            <w:r>
              <w:rPr>
                <w:rFonts w:ascii="Times New Roman" w:hAnsi="Times New Roman"/>
                <w:sz w:val="20"/>
              </w:rPr>
              <w:t>72h-Meldefrist beginnt mit Kenntnisnahme des Schadens, nicht des Ereignisses</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