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Aktenvorblatt</w:t>
      </w:r>
    </w:p>
    <w:p>
      <w:pPr>
        <w:pStyle w:val="Heading2"/>
      </w:pPr>
      <w:r>
        <w:rPr>
          <w:rFonts w:ascii="Times New Roman" w:hAnsi="Times New Roman"/>
        </w:rPr>
        <w:t>Kanzlei Drosten &amp; Pekonkur — Rechtsanwälte und Fachanwälte</w:t>
      </w:r>
    </w:p>
    <w:p>
      <w:pPr>
        <w:jc w:val="left"/>
      </w:pPr>
      <w:r>
        <w:rPr>
          <w:b/>
        </w:rPr>
        <w:t>Aktenzeichen intern:</w:t>
      </w:r>
      <w:r>
        <w:t xml:space="preserve"> DP-2026-0506-FTM</w:t>
      </w:r>
    </w:p>
    <w:p>
      <w:pPr>
        <w:jc w:val="left"/>
      </w:pPr>
      <w:r>
        <w:rPr>
          <w:b/>
        </w:rPr>
        <w:t>Anlage:</w:t>
      </w:r>
      <w:r>
        <w:t xml:space="preserve"> IT-Recht / Datenschutz / Strafrecht</w:t>
      </w:r>
    </w:p>
    <w:p>
      <w:pPr>
        <w:jc w:val="left"/>
      </w:pPr>
      <w:r>
        <w:rPr>
          <w:b/>
        </w:rPr>
        <w:t>Bearbeiter:</w:t>
      </w:r>
      <w:r>
        <w:t xml:space="preserve"> RA Lukas Drosten, Fachanwalt für IT-Recht</w:t>
      </w:r>
    </w:p>
    <w:p>
      <w:pPr>
        <w:jc w:val="left"/>
      </w:pPr>
      <w:r>
        <w:rPr>
          <w:b/>
        </w:rPr>
        <w:t>Eröffnet am:</w:t>
      </w:r>
      <w:r>
        <w:t xml:space="preserve"> 06.05.2026</w:t>
      </w:r>
    </w:p>
    <w:p>
      <w:pPr>
        <w:jc w:val="left"/>
      </w:pPr>
      <w:r>
        <w:rPr>
          <w:b/>
        </w:rPr>
        <w:t>Status:</w:t>
      </w:r>
      <w:r>
        <w:t xml:space="preserve"> Aktiv — Notfall-Mandat</w:t>
      </w:r>
    </w:p>
    <w:p/>
    <w:p>
      <w:pPr>
        <w:pStyle w:val="Heading2"/>
      </w:pPr>
      <w:r>
        <w:rPr>
          <w:rFonts w:ascii="Times New Roman" w:hAnsi="Times New Roman"/>
        </w:rPr>
        <w:t>Mandantin</w:t>
      </w:r>
    </w:p>
    <w:p>
      <w:pPr>
        <w:jc w:val="left"/>
      </w:pPr>
      <w:r>
        <w:rPr>
          <w:b/>
        </w:rPr>
        <w:t>Firmenbezeichnung:</w:t>
      </w:r>
      <w:r>
        <w:t xml:space="preserve"> Frischetrans Mittelrhein GmbH</w:t>
      </w:r>
    </w:p>
    <w:p>
      <w:pPr>
        <w:jc w:val="left"/>
      </w:pPr>
      <w:r>
        <w:rPr>
          <w:b/>
        </w:rPr>
        <w:t>Rechtsform:</w:t>
      </w:r>
      <w:r>
        <w:t xml:space="preserve"> GmbH</w:t>
      </w:r>
    </w:p>
    <w:p>
      <w:pPr>
        <w:jc w:val="left"/>
      </w:pPr>
      <w:r>
        <w:rPr>
          <w:b/>
        </w:rPr>
        <w:t>Sitz:</w:t>
      </w:r>
      <w:r>
        <w:t xml:space="preserve"> Binger Straße 142, 55131 Mainz</w:t>
      </w:r>
    </w:p>
    <w:p>
      <w:pPr>
        <w:jc w:val="left"/>
      </w:pPr>
      <w:r>
        <w:rPr>
          <w:b/>
        </w:rPr>
        <w:t>Handelsregister:</w:t>
      </w:r>
      <w:r>
        <w:t xml:space="preserve"> HRB 44821, Amtsgericht Mainz</w:t>
      </w:r>
    </w:p>
    <w:p>
      <w:pPr>
        <w:jc w:val="left"/>
      </w:pPr>
      <w:r>
        <w:rPr>
          <w:b/>
        </w:rPr>
        <w:t>Umsatz (ca.):</w:t>
      </w:r>
      <w:r>
        <w:t xml:space="preserve"> 38 Mio. EUR p.a.</w:t>
      </w:r>
    </w:p>
    <w:p>
      <w:pPr>
        <w:jc w:val="left"/>
      </w:pPr>
      <w:r>
        <w:rPr>
          <w:b/>
        </w:rPr>
        <w:t>Mitarbeiter:</w:t>
      </w:r>
      <w:r>
        <w:t xml:space="preserve"> 280 (Vollzeit und Teilzeit)</w:t>
      </w:r>
    </w:p>
    <w:p>
      <w:pPr>
        <w:jc w:val="left"/>
      </w:pPr>
      <w:r>
        <w:rPr>
          <w:b/>
        </w:rPr>
        <w:t>Fuhrpark:</w:t>
      </w:r>
      <w:r>
        <w:t xml:space="preserve"> 64 LKW (Kühlkette / Frischelogistik)</w:t>
      </w:r>
    </w:p>
    <w:p>
      <w:pPr>
        <w:jc w:val="left"/>
      </w:pPr>
      <w:r>
        <w:rPr>
          <w:b/>
        </w:rPr>
        <w:t>Branche:</w:t>
      </w:r>
      <w:r>
        <w:t xml:space="preserve"> B2B-Frischelogistik für Großbäckereien und Lebensmittelketten</w:t>
      </w:r>
    </w:p>
    <w:p>
      <w:pPr>
        <w:jc w:val="left"/>
      </w:pPr>
      <w:r>
        <w:rPr>
          <w:b/>
        </w:rPr>
        <w:t>Geschäftsführerin:</w:t>
      </w:r>
      <w:r>
        <w:t xml:space="preserve"> Theresia Wallbruck (alleinvertretungsberechtigt)</w:t>
      </w:r>
    </w:p>
    <w:p>
      <w:pPr>
        <w:jc w:val="left"/>
      </w:pPr>
      <w:r>
        <w:rPr>
          <w:b/>
        </w:rPr>
        <w:t>E-Mail (GF):</w:t>
      </w:r>
      <w:r>
        <w:t xml:space="preserve"> t.wallbruck@frischetrans-mittelrhein.de</w:t>
      </w:r>
    </w:p>
    <w:p>
      <w:pPr>
        <w:jc w:val="left"/>
      </w:pPr>
      <w:r>
        <w:rPr>
          <w:b/>
        </w:rPr>
        <w:t>Telefon (GF):</w:t>
      </w:r>
      <w:r>
        <w:t xml:space="preserve"> +49 6131 8820-100</w:t>
      </w:r>
    </w:p>
    <w:p/>
    <w:p>
      <w:pPr>
        <w:pStyle w:val="Heading2"/>
      </w:pPr>
      <w:r>
        <w:rPr>
          <w:rFonts w:ascii="Times New Roman" w:hAnsi="Times New Roman"/>
        </w:rPr>
        <w:t>Mandatsbeschreibung</w:t>
      </w:r>
    </w:p>
    <w:p>
      <w:pPr>
        <w:jc w:val="left"/>
      </w:pPr>
      <w:r>
        <w:t>Frischetrans Mittelrhein GmbH ist in der Nacht vom 05. auf den 06.05.2026 Opfer eines schwerwiegenden Ransomware-Angriffs der Gruppe „AkiraNext" geworden. Das ERP-System (SAP S/4HANA, on-premises) sowie die Telematik-Schnittstellen wurden vollständig verschlüsselt. Dem Unternehmen liegt ein Erpressungsschreiben mit einer Lösegeldforderung von 1.450.000 USD (Monero) vor.</w:t>
      </w:r>
    </w:p>
    <w:p>
      <w:pPr>
        <w:jc w:val="left"/>
      </w:pPr>
      <w:r>
        <w:t>Aufgrund des Datenabflusses von ca. 2,1 TB (Kundenstammdaten, Mitarbeiterpersonalakten inkl. Gesundheitsdaten aus BEM-Verfahren) bestehen akute Meldepflichten nach Art. 33 DSGVO (LfDI RLP, Frist 72 h), potenziell nach BSI-Gesetz/NIS2-Umsetzungsgesetz sowie strafrechtliche Anzeigepflichten/Anzeigeoptionen.</w:t>
      </w:r>
    </w:p>
    <w:p>
      <w:pPr>
        <w:jc w:val="left"/>
      </w:pPr>
      <w:r>
        <w:t>Parallel bestehen:</w:t>
      </w:r>
    </w:p>
    <w:p>
      <w:pPr>
        <w:pStyle w:val="ListBullet"/>
      </w:pPr>
      <w:r>
        <w:t xml:space="preserve">Ansprüche gegen den ERP-Dienstleister </w:t>
      </w:r>
      <w:r>
        <w:rPr>
          <w:b/>
        </w:rPr>
        <w:t>ProcessSpark Cloud AG</w:t>
      </w:r>
      <w:r>
        <w:t xml:space="preserve"> (München) wegen verspäteten Sicherheitspatches (CVE-2026-0712)</w:t>
      </w:r>
    </w:p>
    <w:p>
      <w:pPr>
        <w:pStyle w:val="ListBullet"/>
      </w:pPr>
      <w:r>
        <w:t>Fragen der KI-Verordnungs-Compliance (KI-System „PalettenAuge AI")</w:t>
      </w:r>
    </w:p>
    <w:p>
      <w:pPr>
        <w:pStyle w:val="ListBullet"/>
      </w:pPr>
      <w:r>
        <w:t>Open-Source-Compliance-Fragen (AGPL-3.0-Komponente „scheduleHero" im Tool „TourPlanner")</w:t>
      </w:r>
    </w:p>
    <w:p/>
    <w:p>
      <w:pPr>
        <w:pStyle w:val="Heading2"/>
      </w:pPr>
      <w:r>
        <w:rPr>
          <w:rFonts w:ascii="Times New Roman" w:hAnsi="Times New Roman"/>
        </w:rPr>
        <w:t>Beteiligte und Gegner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Partei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Rolle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Kontakt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Frischetrans Mittelrhein GmbH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Mandantin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Binger Str. 142, 55131 Mainz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Theresia Wallbruck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Geschäftsführerin Mandantin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t.wallbruck@frischetrans-mittelrhein.de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InsoTec Systems GmbH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Externer IT-Dienstleister / SOC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Hanauer Landstraße 204, 60314 Frankfurt a.M.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ProcessSpark Cloud 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SaaS-ERP-Anbieter, Gegner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Leopoldstraße 88, 80802 München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DachAuge GmbH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KI-System-Anbieter „PalettenAuge AI"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Rosenthaler Str. 34, 10178 Berlin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LfDI Rheinland-Pfalz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Aufsichtsbehörde DSGVO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Hintere Bleiche 34, 55116 Mainz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BSI Außenstelle Frankfurt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Behörde NIS2/KRITIS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Gutleutstraße 163, 60327 Frankfurt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ZAC Mainz (Kriminalpolizei)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Strafverfolgung Cybercrime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Valenciaplatz 1, 55118 Mainz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CyberCovered 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Cyber-Versicherer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Taunusanlage 17, 60325 Frankfurt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Frischbäcker 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Betroffener Kunde (systemrelevant)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Industriestraße 12, 68167 Mannheim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Backhaus Süd GmbH &amp; Co. KG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Betroffener Kunde (systemrelevant)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Böblinger Str. 111, 70199 Stuttgart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Geplante Verfahren / Aktenzeichen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Verfahren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Aktenzeichen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Klage ProcessSpark (LG Mainz)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 O 88/26 (geplant)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Vorbereitungsphase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Strafanzeige Cybercrime (ZAC Mainz)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421 UJs 6611/26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Erstattet 06.05.2026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DSGVO-Meldung LfDI RLP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intern: DP-LDFI-2026-0506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Übermittelt 08.05.2026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BSI-Meldung NIS2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BSI-REF-2026-1847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Übermittelt 07.05.2026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Fristen (Übersicht — Details siehe Aktenstück 22)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Erledigt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Art. 33 DSGVO — 72 h Meldung LfDI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09.05.2026, 04:17 Uhr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 (08.05.2026, 22:45 Uhr)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BSI NIS2-Meldung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09.05.2026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 (07.05.2026, 16:30 Uhr)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Art. 34 DSGVO Benachrichtigung Betroffene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Unverzüglich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 Bearbeitung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Schadensersatzforderung ProcessSpark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Setzung 14-Tages-Frist ab 12.05.2026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Versicherungsmeldung CyberCovered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72 h nach Entdeckung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Gemeldet 07.05.2026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Kanzleidaten</w:t>
      </w:r>
    </w:p>
    <w:p>
      <w:pPr>
        <w:jc w:val="left"/>
      </w:pPr>
      <w:r>
        <w:rPr>
          <w:b/>
        </w:rPr>
        <w:t>Kanzlei Drosten &amp; Pekonkur</w:t>
      </w:r>
    </w:p>
    <w:p>
      <w:pPr>
        <w:jc w:val="left"/>
      </w:pPr>
      <w:r>
        <w:t>Rechtsanwälte und Fachanwälte</w:t>
      </w:r>
    </w:p>
    <w:p>
      <w:pPr>
        <w:jc w:val="left"/>
      </w:pPr>
      <w:r>
        <w:t>Schillerstraße 14</w:t>
      </w:r>
    </w:p>
    <w:p>
      <w:pPr>
        <w:jc w:val="left"/>
      </w:pPr>
      <w:r>
        <w:t>55116 Mainz</w:t>
      </w:r>
    </w:p>
    <w:p>
      <w:pPr>
        <w:jc w:val="left"/>
      </w:pPr>
      <w:r>
        <w:t>Telefon: +49 6131 2240-0</w:t>
      </w:r>
    </w:p>
    <w:p>
      <w:pPr>
        <w:jc w:val="left"/>
      </w:pPr>
      <w:r>
        <w:t>Telefax: +49 6131 2240-99</w:t>
      </w:r>
    </w:p>
    <w:p>
      <w:pPr>
        <w:jc w:val="left"/>
      </w:pPr>
      <w:r>
        <w:t>E-Mail: kanzlei@drosten-pekonkur.de</w:t>
      </w:r>
    </w:p>
    <w:p>
      <w:pPr>
        <w:jc w:val="left"/>
      </w:pPr>
      <w:r>
        <w:t>Berufsrechtliche Regelungen: BRAO, BORA, FAO</w:t>
      </w:r>
    </w:p>
    <w:p>
      <w:pPr>
        <w:jc w:val="left"/>
      </w:pPr>
      <w:r>
        <w:t>Zuständige Rechtsanwaltskammer: Rechtsanwaltskammer Koblenz</w:t>
      </w:r>
    </w:p>
    <w:p>
      <w:pPr>
        <w:jc w:val="left"/>
      </w:pPr>
      <w:r>
        <w:t>Berufshaftpflichtversicherung: Allianz Versicherungs-AG, Pol.-Nr. RHV-88341120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