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 – Kanzlei Pflüger Schoeneberg Bankrecht</w:t>
      </w:r>
    </w:p>
    <w:p>
      <w:pPr>
        <w:jc w:val="left"/>
      </w:pPr>
      <w:r>
        <w:rPr>
          <w:b/>
        </w:rPr>
        <w:t>Kanzlei:</w:t>
      </w:r>
      <w:r>
        <w:t xml:space="preserve"> Pflüger Schoeneberg Bankrecht GbR</w:t>
      </w:r>
    </w:p>
    <w:p>
      <w:pPr>
        <w:jc w:val="left"/>
      </w:pPr>
      <w:r>
        <w:rPr>
          <w:b/>
        </w:rPr>
        <w:t>Anschrift:</w:t>
      </w:r>
      <w:r>
        <w:t xml:space="preserve"> Am Markt 14 · 28195 Bremen</w:t>
      </w:r>
    </w:p>
    <w:p>
      <w:pPr>
        <w:jc w:val="left"/>
      </w:pPr>
      <w:r>
        <w:rPr>
          <w:b/>
        </w:rPr>
        <w:t>Telefon:</w:t>
      </w:r>
      <w:r>
        <w:t xml:space="preserve"> 0421 / 33 88 20-0</w:t>
      </w:r>
    </w:p>
    <w:p>
      <w:pPr>
        <w:jc w:val="left"/>
      </w:pPr>
      <w:r>
        <w:rPr>
          <w:b/>
        </w:rPr>
        <w:t>Fax:</w:t>
      </w:r>
      <w:r>
        <w:t xml:space="preserve"> 0421 / 33 88 20-99</w:t>
      </w:r>
    </w:p>
    <w:p>
      <w:pPr>
        <w:jc w:val="left"/>
      </w:pPr>
      <w:r>
        <w:rPr>
          <w:b/>
        </w:rPr>
        <w:t>E-Mail:</w:t>
      </w:r>
      <w:r>
        <w:t xml:space="preserve"> kanzlei@pflueger-schoeneberg-bankrecht.de</w:t>
      </w:r>
    </w:p>
    <w:p>
      <w:pPr>
        <w:jc w:val="left"/>
      </w:pPr>
      <w:r>
        <w:rPr>
          <w:b/>
        </w:rPr>
        <w:t>Web:</w:t>
      </w:r>
      <w:r>
        <w:t xml:space="preserve"> www.pflueger-schoeneberg-bankrecht.de</w:t>
      </w:r>
    </w:p>
    <w:p/>
    <w:p>
      <w:pPr>
        <w:pStyle w:val="Heading2"/>
      </w:pPr>
      <w:r>
        <w:rPr>
          <w:rFonts w:ascii="Times New Roman" w:hAnsi="Times New Roman"/>
        </w:rPr>
        <w:t>Mandatsangaben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Aktenzeichen intern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PS-BKR-2026-0412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Mandant (Auftraggeber)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Daniel Wittfeldt (handelnd für und mit Vollmacht seiner Mutter)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Betroffene Geschädigte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Eva-Maria Wittfeldt, geb. 14.03.1962, Bremen-Vegesack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Mandatsart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Anlagebetrugssache / Bank- und Kapitalmarktrecht / Strafrecht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Zuständiger Anwalt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Rechtsanwalt Dr. Severin Pflüger, Fachanwalt für Bank- und Kapitalmarktrecht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Sachbearbeiterin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Henriette Böckmann (RA-Fachangestellte)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Mandatseingang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Erstgespräch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07.04.2026, 10:00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Auftraggeber-Adresse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Daniel Wittfeldt, Deichstr. 88, 28757 Bremen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Tel. Daniel Wittfeldt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0176 / 44 71 82 03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E-Mail Daniel Wittfeldt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d.wittfeldt@bsoftag-bremen.de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Gegner / 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Bremen, Hauptsitz Am Brill 1–3, 28195 Bremen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Kontoführendes Institut / Kreditgeber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CryptoFutureMax.io (Betreibergesellschaft unbekannt)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Mutmaßliche Betrugsplattform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 Bank Ltd., Hongkong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Empfängerbank (Überweisungen)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Trustless Banking S.A., Tallinn/Estland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Empfängerbank (Überweisungen)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Cyprus Popular Bank (insolvent) / Nachfolgeeinrichtung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Empfängerbank (Überweisungen)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„Robert Volkmann", Account-Manager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Mutmaßlicher Täter / Alias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Schufa Holding AG, Kormoranweg 5, 65201 Wiesbaden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Auskunftei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Polizei Bremen ZKD AG Cybercrime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ZD 3001 UJs 8841/26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Bremen (Klage ./. Sparkasse)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 O 215/26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Bremen-Blumenthal (Schufa-Streit)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 C 124/26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 Frankfurt (Anzeige MiCA/Stablecoin)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BaFin-Az. in Bearbeitung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Schadensübersicht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Überweisungen Sparkasse → CryptoFutureMax insgesamt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387.420,00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aus Erbschaft Wittfeldt-Tante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120.000,00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aus Riester-Renten-Auflösung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52.000,00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aus Hypothekendarlehen Sparkasse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75.000,00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Vermeintliche „Steuer-Vorauszahlung" an CFM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Vermeintliche „AML-Kaution" an CFM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Offene Darlehensrestschuld Sparkasse (nach Kündigung)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71.380,00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Gesamtschaden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458.420,00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Rechtsschutzversicherung</w:t>
      </w:r>
    </w:p>
    <w:p>
      <w:pPr>
        <w:jc w:val="left"/>
      </w:pPr>
      <w:r>
        <w:t>Keine Rechtsschutzversicherung vorhanden. Prozesskostenhilfe zu prüfen (§ 114 ff. ZPO). PKH-Antrag liegt vor.</w:t>
      </w:r>
    </w:p>
    <w:p/>
    <w:p>
      <w:pPr>
        <w:pStyle w:val="Heading2"/>
      </w:pPr>
      <w:r>
        <w:rPr>
          <w:rFonts w:ascii="Times New Roman" w:hAnsi="Times New Roman"/>
        </w:rPr>
        <w:t>Fristen (Übersicht → Aktenstück 22)</w:t>
      </w:r>
    </w:p>
    <w:p>
      <w:pPr>
        <w:pStyle w:val="ListBullet"/>
      </w:pPr>
      <w:r>
        <w:t>Strafanzeige erstattet: 08.04.2026</w:t>
      </w:r>
    </w:p>
    <w:p>
      <w:pPr>
        <w:pStyle w:val="ListBullet"/>
      </w:pPr>
      <w:r>
        <w:t>BaFin-Anzeige: 14.04.2026</w:t>
      </w:r>
    </w:p>
    <w:p>
      <w:pPr>
        <w:pStyle w:val="ListBullet"/>
      </w:pPr>
      <w:r>
        <w:t>Widerspruch Kreditkündigung: 17.04.2026</w:t>
      </w:r>
    </w:p>
    <w:p>
      <w:pPr>
        <w:pStyle w:val="ListBullet"/>
      </w:pPr>
      <w:r>
        <w:t>Schufa-Löschungsbegehren: 21.04.2026</w:t>
      </w:r>
    </w:p>
    <w:p>
      <w:pPr>
        <w:pStyle w:val="ListBullet"/>
      </w:pPr>
      <w:r>
        <w:t>Verjährung Bereicherungsansprüche: laufend (§ 195 BGB, regelmäßige Verjährungsfrist 3 Jahre ab Kenntniserlangung)</w:t>
      </w:r>
    </w:p>
    <w:p>
      <w:pPr>
        <w:pStyle w:val="ListBullet"/>
      </w:pPr>
      <w:r>
        <w:t>Klageeinreichung LG Bremen: angestrebt bis 30.06.2026</w:t>
      </w:r>
    </w:p>
    <w:p/>
    <w:p>
      <w:pPr>
        <w:pStyle w:val="Heading2"/>
      </w:pPr>
      <w:r>
        <w:rPr>
          <w:rFonts w:ascii="Times New Roman" w:hAnsi="Times New Roman"/>
        </w:rPr>
        <w:t>Bearbeitungsstand</w:t>
      </w:r>
    </w:p>
    <w:p>
      <w:pPr>
        <w:pStyle w:val="ListBullet"/>
      </w:pPr>
      <w:r>
        <w:t>[x] Erstgespräch geführt (07.04.2026)</w:t>
      </w:r>
    </w:p>
    <w:p>
      <w:pPr>
        <w:pStyle w:val="ListBullet"/>
      </w:pPr>
      <w:r>
        <w:t>[x] Vollmacht erteilt (Eva-Maria Wittfeldt + Daniel Wittfeldt)</w:t>
      </w:r>
    </w:p>
    <w:p>
      <w:pPr>
        <w:pStyle w:val="ListBullet"/>
      </w:pPr>
      <w:r>
        <w:t>[x] Strafanzeige erstattet</w:t>
      </w:r>
    </w:p>
    <w:p>
      <w:pPr>
        <w:pStyle w:val="ListBullet"/>
      </w:pPr>
      <w:r>
        <w:t>[x] BaFin-Anzeige eingereicht</w:t>
      </w:r>
    </w:p>
    <w:p>
      <w:pPr>
        <w:pStyle w:val="ListBullet"/>
      </w:pPr>
      <w:r>
        <w:t>[x] Widerspruch Kreditkündigung versandt</w:t>
      </w:r>
    </w:p>
    <w:p>
      <w:pPr>
        <w:pStyle w:val="ListBullet"/>
      </w:pPr>
      <w:r>
        <w:t>[ ] Schufa-Löschungsklage AG Bremen-Blumenthal</w:t>
      </w:r>
    </w:p>
    <w:p>
      <w:pPr>
        <w:pStyle w:val="ListBullet"/>
      </w:pPr>
      <w:r>
        <w:t>[ ] Hauptklage LG Bremen ./. Sparkasse</w:t>
      </w:r>
    </w:p>
    <w:p>
      <w:pPr>
        <w:pStyle w:val="ListBullet"/>
      </w:pPr>
      <w:r>
        <w:t>[ ] Klage LG Frankfurt ./. Empfängerbanken</w:t>
      </w:r>
    </w:p>
    <w:p/>
    <w:p>
      <w:pPr>
        <w:jc w:val="left"/>
      </w:pPr>
      <w:r>
        <w:rPr>
          <w:i/>
        </w:rPr>
        <w:t>Letzte Aktualisierung: 30.04.2026 · Dr. S. Pflüger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