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Chronologie: Cybertrading-Anlagebetrug Wittfeldt – September 2024 bis April 2026</w:t>
      </w:r>
    </w:p>
    <w:p>
      <w:pPr>
        <w:jc w:val="left"/>
      </w:pPr>
      <w:r>
        <w:rPr>
          <w:b/>
        </w:rPr>
        <w:t>Aktenzeichen:</w:t>
      </w:r>
      <w:r>
        <w:t xml:space="preserve"> PS-BKR-2026-0412</w:t>
      </w:r>
    </w:p>
    <w:p>
      <w:pPr>
        <w:jc w:val="left"/>
      </w:pPr>
      <w:r>
        <w:rPr>
          <w:b/>
        </w:rPr>
        <w:t>Erstellt:</w:t>
      </w:r>
      <w:r>
        <w:t xml:space="preserve"> 08.04.2026 · Dr. Severin Pflüger</w:t>
      </w:r>
    </w:p>
    <w:p/>
    <w:p>
      <w:pPr>
        <w:pStyle w:val="Heading2"/>
      </w:pPr>
      <w:r>
        <w:rPr>
          <w:rFonts w:ascii="Times New Roman" w:hAnsi="Times New Roman"/>
        </w:rPr>
        <w:t>Vorbemerkung</w:t>
      </w:r>
    </w:p>
    <w:p>
      <w:pPr>
        <w:jc w:val="left"/>
      </w:pPr>
      <w:r>
        <w:t>Die nachfolgende Chronologie stützt sich auf Kontoauszüge der Sparkasse Bremen, E-Mail-Ausdrucke (redacted, Aktenstück 05), Angaben des Auftraggebers Daniel Wittfeldt sowie die eidesstattliche Erklärung der Geschädigten Eva-Maria Wittfeldt vom 06.04.2026.</w:t>
      </w:r>
    </w:p>
    <w:p/>
    <w:p>
      <w:pPr>
        <w:pStyle w:val="Heading2"/>
      </w:pPr>
      <w:r>
        <w:rPr>
          <w:rFonts w:ascii="Times New Roman" w:hAnsi="Times New Roman"/>
        </w:rPr>
        <w:t>Zeitlinie</w:t>
      </w:r>
    </w:p>
    <w:p>
      <w:pPr>
        <w:pStyle w:val="Heading3"/>
      </w:pPr>
      <w:r>
        <w:rPr>
          <w:rFonts w:ascii="Times New Roman" w:hAnsi="Times New Roman"/>
        </w:rPr>
        <w:t>September 2024 – Erstkontakt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05.09.2024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Eva-Maria Wittfeldt (EMW) erhält über Facebook-Anzeige Hinweis auf „CryptoFutureMax.io – Krypto-Renditen bis 18 % p.m."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08.09.2024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Erstkontakt mit „Account-Manager Robert Volkmann" per WhatsApp (+44 7700 900 441). Volkmann gibt vor, geprüfter Finanzberater mit Sitz London zu sein.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12.09.2024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Volkmann übermittelt per E-Mail ein angebliches „Investitionspaket Silber" (PDF, gefälschtes BaFin-Logo) sowie persönliche Anmeldedaten für Dashboard cryptofuturemax.io.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18.09.2024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Erste Überweisung:</w:t>
            </w:r>
            <w:r>
              <w:rPr>
                <w:rFonts w:ascii="Times New Roman" w:hAnsi="Times New Roman"/>
                <w:sz w:val="20"/>
              </w:rPr>
              <w:t xml:space="preserve"> 38.000 EUR von Konto Wittfeldt (IBAN DE44 2905 0101 1004 xxxx xx, Sparkasse Bremen) auf ZA Bank Ltd. Hongkong (Empfänger-IBAN HK20 0030 0000 4xxx; Verwendungszweck: „Investment Account CFMX-00418-EMW").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Oktober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03.10.2024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EMW sieht auf Dashboard-Screenshot angeblichen Portfoliowert 41.500 EUR (+3.500 EUR Buchgewinn).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14.10.2024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Zweite Überweisung:</w:t>
            </w:r>
            <w:r>
              <w:rPr>
                <w:rFonts w:ascii="Times New Roman" w:hAnsi="Times New Roman"/>
                <w:sz w:val="20"/>
              </w:rPr>
              <w:t xml:space="preserve"> 42.000 EUR → Trustless Banking S.A., Tallinn (IBAN EE38 2200 2210 xxxx xxxx; VWZ: „CFMX Portfolio Extension EMW").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25.10.2024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Volkmann gratuliert per WhatsApp zum „starken Monat", sendet PDF-Kontoauszug (Fake) mit Gesamtwert 87.900 EUR.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November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08.11.2024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Volkmann drängt zu weiterer Einzahlung, da „exklusiver Trading-Pool" zum 01.12.2024 schließe.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15.11.2024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Dritte Überweisung:</w:t>
            </w:r>
            <w:r>
              <w:rPr>
                <w:rFonts w:ascii="Times New Roman" w:hAnsi="Times New Roman"/>
                <w:sz w:val="20"/>
              </w:rPr>
              <w:t xml:space="preserve"> 58.500 EUR → Cyprus Popular Bank (Zypern, IBAN CY17 0020 0195 xxxx xxxx xxxx xxxx; VWZ: „CFMX Tier-2 Upgrade EMW").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28.11.2024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EMW erkundigt sich nach Teila bauszahlung (10.000 EUR). Volkmann teilt mit, Auszahlung müsse erst „Compliance-Prüfung" (ca. 14 Tage) durchlaufen.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Dezember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05.12.2024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Compliance-Prüfung angeblich abgeschlossen; Auszahlung verspäte sich wegen „SEPA-Clearing-Problem".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18.12.2024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Vierte Überweisung:</w:t>
            </w:r>
            <w:r>
              <w:rPr>
                <w:rFonts w:ascii="Times New Roman" w:hAnsi="Times New Roman"/>
                <w:sz w:val="20"/>
              </w:rPr>
              <w:t xml:space="preserve"> 89.000 EUR → ZA Bank Ltd., Hongkong (neue IBAN, VWZ: „CFMX Premium-Tier EMW"). Dies ist der größte Einzelbetrag. EMW hebt hierfür u. a. die Riester-Renten-Auflösung an (52.000 EUR Auszahlungsbetrag nach Abzug Steuer).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Januar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06.01.2025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EMW beantragt bei Sparkasse Bremen Hypothekendarlehen über 75.000 EUR mit Eintragung einer Grundschuld auf ihrer Eigentumswohnung Bremen-Vegesack, Kiefernstraße 17, 28757 Bremen. Darlehenszweck gegenüber Sparkasse: „Sanierungsmaßnahmen Wohngebäude".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Darlehensauszahlung 75.000 EUR auf Girokonto Wittfeldt.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24.01.2025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Fünfte Überweisung:</w:t>
            </w:r>
            <w:r>
              <w:rPr>
                <w:rFonts w:ascii="Times New Roman" w:hAnsi="Times New Roman"/>
                <w:sz w:val="20"/>
              </w:rPr>
              <w:t xml:space="preserve"> 51.000 EUR → Trustless Banking S.A., Tallinn (VWZ: „CFMX Re-Investment Tranche 5 EMW"). Aus dem Darlehen stammend.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Februar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Volkmann fordert per E-Mail „Steuer-Vorauszahlung 31.000 EUR an Finanzbehörde UK", damit Gewinne von angeblich 94.700 EUR ausgezahlt werden könnten.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11.02.2025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Sechste Überweisung:</w:t>
            </w:r>
            <w:r>
              <w:rPr>
                <w:rFonts w:ascii="Times New Roman" w:hAnsi="Times New Roman"/>
                <w:sz w:val="20"/>
              </w:rPr>
              <w:t xml:space="preserve"> 47.420 EUR → Trustless Banking S.A. (kombiniert: 31.000 EUR „Steuer" + 16.420 EUR restliche Ersparnisse; VWZ: „Tax Compliance CFM EMW").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Auszahlung erneut verschoben, nun wegen angeblicher „AML-Kaution 18.000 EUR".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März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07.03.2025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Siebte Überweisung:</w:t>
            </w:r>
            <w:r>
              <w:rPr>
                <w:rFonts w:ascii="Times New Roman" w:hAnsi="Times New Roman"/>
                <w:sz w:val="20"/>
              </w:rPr>
              <w:t xml:space="preserve"> 61.500 EUR → ZA Bank Ltd. Hongkong (VWZ: „AML Deposit &amp; Final Settlement EMW"). EMW hat nun keine liquiden Mittel mehr.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15.03.2025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Dashboard von cryptofuturemax.io zeigt angeblichen Portfoliowert 812.400 EUR – unerreichbar, da Login-Code nicht mehr funktioniert.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28.03.2025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EMW versucht Kontaktaufnahme mit Volkmann; WhatsApp-Nummer gesperrt, E-Mails prallen zurück.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April 2025 bis März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April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EMW wendet sich an Verbraucherzentrale Bremen; wird beruhigt, solle noch zuwarten.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Juni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EMW kann Sparkassen-Darlehensraten (mtl. 623 EUR) nicht mehr leisten. Erste Mahnung.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September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Zweite Mahnung Sparkasse; Ankündigung Kreditkündigung.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November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Sparkasse kündigt Darlehen fristlos (§ 490 BGB). Offener Betrag: 71.380 EUR.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Dezember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Sparkasse meldet EMW an Schufa (Forderung 71.380 EUR, Merkmal P).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Januar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EMW erhält Schufa-Auskunft; Scoring stark verschlechtert (Klasse H).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April 2026 – Mandatsbeginn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Daniel Wittfeldt entdeckt bei Besuch Geldflüsse auf Auszügen der Mutter, erkennt Muster.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Mandatsanfrage bei Pflüger Schoeneberg Bankrecht.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07.04.2026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Erstgespräch mit Dr. Pflüger; Vollmacht erteilt.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Strafanzeige bei Polizei Bremen ZKD AG Cybercrime. AZ: ZD 3001 UJs 8841/26.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BaFin-Anzeige wegen MiCA-/Stablecoin-Verstößen.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 gegen Kreditkündigung (§ 490 BGB).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Schufa-Löschungsbegehren.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Zusammenfassung Überweisungsstruktur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Empfängerbank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Land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18.09.2024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38.000,00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ZA Bank Ltd.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Hongkong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14.10.2024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42.000,00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Trustless Banking S.A.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Estland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15.11.2024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58.500,00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Cyprus Popular Bank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Zypern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18.12.2024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89.000,00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ZA Bank Ltd.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Hongkong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24.01.2025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51.000,00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Trustless Banking S.A.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Estland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11.02.2025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47.420,00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Trustless Banking S.A.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Estland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07.03.2025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61.500,00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ZA Bank Ltd.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Hongkong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387.420,00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/>
    <w:p>
      <w:pPr>
        <w:jc w:val="left"/>
      </w:pPr>
      <w:r>
        <w:rPr>
          <w:i/>
        </w:rPr>
        <w:t>Erstellt: 08.04.2026 · Dr. S. Pflüger, Fachanwalt Bank- und Kapitalmarktrecht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