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Aufstellung der Überweisungen – Sparkasse Bremen</w:t>
      </w:r>
    </w:p>
    <w:p>
      <w:pPr>
        <w:jc w:val="left"/>
      </w:pPr>
      <w:r>
        <w:rPr>
          <w:b/>
        </w:rPr>
        <w:t>Aktenzeichen:</w:t>
      </w:r>
      <w:r>
        <w:t xml:space="preserve"> PS-BKR-2026-0412</w:t>
      </w:r>
    </w:p>
    <w:p>
      <w:pPr>
        <w:jc w:val="left"/>
      </w:pPr>
      <w:r>
        <w:rPr>
          <w:b/>
        </w:rPr>
        <w:t>Erstellt:</w:t>
      </w:r>
      <w:r>
        <w:t xml:space="preserve"> 08.04.2026 auf Basis von Kontoauszügen der Sparkasse Bremen (Kopien beigefügt, Aktenstück 04-Anlage)</w:t>
      </w:r>
    </w:p>
    <w:p>
      <w:pPr>
        <w:jc w:val="left"/>
      </w:pPr>
      <w:r>
        <w:rPr>
          <w:b/>
        </w:rPr>
        <w:t>Konto Wittfeldt:</w:t>
      </w:r>
      <w:r>
        <w:t xml:space="preserve"> DE44 2905 0101 1004 8830 12 (Girokonto) · Sparkasse Bremen · BIC: SBREDE22XXX</w:t>
      </w:r>
    </w:p>
    <w:p/>
    <w:p>
      <w:pPr>
        <w:pStyle w:val="Heading2"/>
      </w:pPr>
      <w:r>
        <w:rPr>
          <w:rFonts w:ascii="Times New Roman" w:hAnsi="Times New Roman"/>
        </w:rPr>
        <w:t>Vollständige Überweisungsliste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Buchungsdatum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Valuta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Empfänger-IBAN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Empfänger-BIC / Bank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Land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Verwendungszweck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Mitteilungsfeld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18.09.2024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18.09.2024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38.000,00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CFM Trading Ltd. c/o ZA Bank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HK20 0030 0000 4817 2300 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ZNBKHKHH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Hongkong (HK)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Investment Account CFMX-00418-EMW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14.10.2024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14.10.2024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42.000,00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Trustless Banking S.A.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EE38 2200 2210 8847 3801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HABAEE2X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Estland (EE)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CFMX Portfolio Extension EMW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15.11.2024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15.11.2024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58.500,00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Cyprus Popular Settlement Acc.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CY17 0020 0195 0000 3500 1400 5123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BCYPCY2N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Zypern (CY)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CFMX Tier-2 Upgrade EMW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18.12.2024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18.12.2024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89.000,00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CFM Trading Ltd. c/o ZA Bank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HK20 0030 0000 4817 2300 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ZNBKHKHH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Hongkong (HK)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CFMX Premium-Tier EMW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24.01.2025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24.01.2025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51.000,00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Trustless Banking S.A.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EE38 2200 2210 8847 3802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HABAEE2X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Estland (EE)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CFMX Re-Investment Tranche 5 EMW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Aus Darlehen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11.02.2025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11.02.2025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47.420,00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Trustless Banking S.A.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EE38 2200 2210 8847 3803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HABAEE2X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Estland (EE)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Tax Compliance CFM EMW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07.03.2025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07.03.2025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61.500,00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CFM Trading Ltd. c/o ZA Bank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HK20 0030 0000 4817 2300 3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ZNBKHKHH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Hongkong (HK)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AML Deposit &amp; Final Settlement EMW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387.420,00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Aufschlüsselung nach Empfängerbank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Empfängerbank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Anzahl Überweisungen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Gesamtbetrag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 Bank Ltd.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Hongkong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188.500,00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Trustless Banking S.A.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Estland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140.420,00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Cyprus Popular 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Zypern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58.500,00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387.420,00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Finanzierungsquellen der überwiesenen Beträge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Überweisungen zugeordnet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Erbschaft Wittfeldt-Tante (Zufluss Sept. 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120.000,00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Nr. 1, 2, tlw. Nr. 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Riester-Renten-Auflösung (Zufluss Dez. 2024)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52.000,00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tlw. Nr. 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Hypothekendarlehen Sparkasse (Zufluss Jan. 2025)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75.000,00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tlw. Nr. 4, Nr. 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Restliches Sparvermögen / Girokontoguthaben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140.420,00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Nr. 3 (Rest), Nr. 6, Nr. 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387.420,00</w:t>
            </w:r>
          </w:p>
        </w:tc>
        <w:tc>
          <w:tcPr>
            <w:tcW w:type="dxa" w:w="3024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Zahlungsauftrag-Analyse (rechtlich relevant)</w:t>
      </w:r>
    </w:p>
    <w:p>
      <w:pPr>
        <w:pStyle w:val="Heading3"/>
      </w:pPr>
      <w:r>
        <w:rPr>
          <w:rFonts w:ascii="Times New Roman" w:hAnsi="Times New Roman"/>
        </w:rPr>
        <w:t>Frage der Autorisierung (§ 675j BGB)</w:t>
      </w:r>
    </w:p>
    <w:p>
      <w:pPr>
        <w:jc w:val="left"/>
      </w:pPr>
      <w:r>
        <w:t xml:space="preserve">Alle sieben Überweisungen wurden von Eva-Maria Wittfeldt </w:t>
      </w:r>
      <w:r>
        <w:rPr>
          <w:b/>
        </w:rPr>
        <w:t>selbst</w:t>
      </w:r>
      <w:r>
        <w:t xml:space="preserve"> in Auftrag gegeben. Die Sparkasse hat die Aufträge ausgeführt. Im Sinne des § 675j BGB handelt es sich daher um </w:t>
      </w:r>
      <w:r>
        <w:rPr>
          <w:b/>
        </w:rPr>
        <w:t>autorisierte Zahlungsvorgänge</w:t>
      </w:r>
      <w:r>
        <w:t>. Ein unmittelbarer Erstattungsanspruch nach § 675u BGB (unberechtigte Zahlung) scheidet damit grundsätzlich aus.</w:t>
      </w:r>
    </w:p>
    <w:p>
      <w:pPr>
        <w:jc w:val="left"/>
      </w:pPr>
      <w:r>
        <w:t>Allerdings:</w:t>
      </w:r>
    </w:p>
    <w:p>
      <w:pPr>
        <w:pStyle w:val="ListBullet"/>
      </w:pPr>
      <w:r>
        <w:rPr>
          <w:b/>
        </w:rPr>
        <w:t>§ 675v Abs. 3 BGB:</w:t>
      </w:r>
      <w:r>
        <w:t xml:space="preserve"> Wenn der Zahlungsdienstleister (Sparkasse) eine starke Kundenauthentifizierung (SCA) nicht angewendet hat oder Sorgfaltspflichten grob verletzt hat, kann eine Haftungsverschiebung eintreten.</w:t>
      </w:r>
    </w:p>
    <w:p>
      <w:pPr>
        <w:pStyle w:val="ListBullet"/>
      </w:pPr>
      <w:r>
        <w:rPr>
          <w:b/>
        </w:rPr>
        <w:t>§ 25h KWG / GwG:</w:t>
      </w:r>
      <w:r>
        <w:t xml:space="preserve"> Bei Überweisungen mit dem vorliegenden Muster (hohe Beträge, Ausland, unbekannte Empfänger, mehrfach kurz hintereinander) hätte die Sparkasse eine Verdachtsmeldung prüfen müssen. Unterlassene Verdachtsmeldung kann Amtshaftungsansprüche begründen.</w:t>
      </w:r>
    </w:p>
    <w:p>
      <w:pPr>
        <w:pStyle w:val="ListBullet"/>
      </w:pPr>
      <w:r>
        <w:rPr>
          <w:b/>
        </w:rPr>
        <w:t>§ 675z BGB</w:t>
      </w:r>
      <w:r>
        <w:t xml:space="preserve"> i.V.m. §§ 280, 241 Abs. 2 BGB: Verletzung von Hinweis- und Warnpflichten (Bankwarnpflicht bei erkennbarer Betrugsgefahrenlage).</w:t>
      </w:r>
    </w:p>
    <w:p>
      <w:pPr>
        <w:pStyle w:val="Heading3"/>
      </w:pPr>
      <w:r>
        <w:rPr>
          <w:rFonts w:ascii="Times New Roman" w:hAnsi="Times New Roman"/>
        </w:rPr>
        <w:t>Besonderheit Überweisung Nr. 5 (Darlehensgelder)</w:t>
      </w:r>
    </w:p>
    <w:p>
      <w:pPr>
        <w:jc w:val="left"/>
      </w:pPr>
      <w:r>
        <w:t>Überweisung Nr. 5 (51.000 EUR, 24.01.2025) stammt nachweislich aus dem Hypothekendarlehen, das die Sparkasse selbst zwei Tage zuvor ausgezahlt hatte. Daraus ergibt sich ein besonderes Näheverhältnis: Die Sparkasse hat einerseits das Darlehen gewährt und andererseits die Auslandsüberweisung ohne Warnung ausgeführt. Dies verstärkt den Vorwurf der Verletzung von Aufklärungspflichten erheblich.</w:t>
      </w:r>
    </w:p>
    <w:p/>
    <w:p>
      <w:pPr>
        <w:pStyle w:val="Heading2"/>
      </w:pPr>
      <w:r>
        <w:rPr>
          <w:rFonts w:ascii="Times New Roman" w:hAnsi="Times New Roman"/>
        </w:rPr>
        <w:t>Bankwarnpflicht – Indizien für Auffälligkeit</w:t>
      </w:r>
    </w:p>
    <w:p>
      <w:pPr>
        <w:jc w:val="left"/>
      </w:pPr>
      <w:r>
        <w:t>Die Überweisungen wiesen folgende Muster auf, die typischerweise als Money-Mule/Cybertrading-Betrug eingestuft werden:</w:t>
      </w:r>
    </w:p>
    <w:p>
      <w:pPr>
        <w:pStyle w:val="ListNumber"/>
      </w:pPr>
      <w:r>
        <w:t>Auslandsüberweisungen in Drittstaaten (Hongkong, Zypern) und EU-Peripherie (Estland).</w:t>
      </w:r>
    </w:p>
    <w:p>
      <w:pPr>
        <w:pStyle w:val="ListNumber"/>
      </w:pPr>
      <w:r>
        <w:t>Verwendungszwecke mit branchenfremden Kürzeln („CFMX", „AML Deposit", „Tax Compliance").</w:t>
      </w:r>
    </w:p>
    <w:p>
      <w:pPr>
        <w:pStyle w:val="ListNumber"/>
      </w:pPr>
      <w:r>
        <w:t>Sieben Überweisungen in sechs Monaten, kumuliert 387.420 EUR – bei einer EM-Rentnerin mit ~980 EUR/Monat Einkommen.</w:t>
      </w:r>
    </w:p>
    <w:p>
      <w:pPr>
        <w:pStyle w:val="ListNumber"/>
      </w:pPr>
      <w:r>
        <w:t>Sparkasse hatte keine Information über Schenkung, Erbschaft oder Investitionshintergrund.</w:t>
      </w:r>
    </w:p>
    <w:p>
      <w:pPr>
        <w:pStyle w:val="ListNumber"/>
      </w:pPr>
      <w:r>
        <w:t>Empfänger-Kontonummern wechselten zwischen den Transaktionen (HK ...0300 1, ...0300 2, ...0300 3 – Rotation der Unterkonten).</w:t>
      </w:r>
    </w:p>
    <w:p/>
    <w:p>
      <w:pPr>
        <w:pStyle w:val="Heading2"/>
      </w:pPr>
      <w:r>
        <w:rPr>
          <w:rFonts w:ascii="Times New Roman" w:hAnsi="Times New Roman"/>
        </w:rPr>
        <w:t>Vergleichsurteile / Rechtsprechungshinweise</w:t>
      </w:r>
    </w:p>
    <w:p>
      <w:pPr>
        <w:pStyle w:val="ListBullet"/>
      </w:pPr>
      <w:r>
        <w:t>BGH, Urt. v. 06.05.2008 – XI ZR 56/07 (Bankwarnpflicht bei Betrugsindizien).</w:t>
      </w:r>
    </w:p>
    <w:p>
      <w:pPr>
        <w:pStyle w:val="ListBullet"/>
      </w:pPr>
      <w:r>
        <w:t>BGH, Urt. v. 22.06.2010 – VI ZR 212/09 (Schutzpflichten des Kreditinstituts gegenüber Kunden bei Überweisungsaufträgen).</w:t>
      </w:r>
    </w:p>
    <w:p>
      <w:pPr>
        <w:pStyle w:val="ListBullet"/>
      </w:pPr>
      <w:r>
        <w:t>OLG Frankfurt, Urt. v. 18.01.2022 – 3 U 37/21 (Cybertrading-Betrug, Haftung der Hausbank).</w:t>
      </w:r>
    </w:p>
    <w:p/>
    <w:p>
      <w:pPr>
        <w:jc w:val="left"/>
      </w:pPr>
      <w:r>
        <w:rPr>
          <w:i/>
        </w:rPr>
        <w:t>Erstellt: 08.04.2026 · Dr. S. Pflüger</w:t>
      </w:r>
    </w:p>
    <w:p>
      <w:pPr>
        <w:jc w:val="left"/>
      </w:pPr>
      <w:r>
        <w:rPr>
          <w:i/>
        </w:rPr>
        <w:t>Quelle: Kontoauszüge Sparkasse Bremen (Kopien in Papierakte, Anlage 04-A bis 04-G)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