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WpHG-Pflichten: Rechtliche Prüfung der Sparkasse Bremen</w:t>
      </w:r>
    </w:p>
    <w:p>
      <w:pPr>
        <w:jc w:val="left"/>
      </w:pPr>
      <w:r>
        <w:rPr>
          <w:b/>
        </w:rPr>
        <w:t>Aktenzeichen:</w:t>
      </w:r>
      <w:r>
        <w:t xml:space="preserve"> PS-BKR-2026-0412</w:t>
      </w:r>
    </w:p>
    <w:p>
      <w:pPr>
        <w:jc w:val="left"/>
      </w:pPr>
      <w:r>
        <w:rPr>
          <w:b/>
        </w:rPr>
        <w:t>Verfasser:</w:t>
      </w:r>
      <w:r>
        <w:t xml:space="preserve"> Dr. Severin Pflüger, Fachanwalt für Bank- und Kapitalmarktrecht</w:t>
      </w:r>
    </w:p>
    <w:p>
      <w:pPr>
        <w:jc w:val="left"/>
      </w:pPr>
      <w:r>
        <w:rPr>
          <w:b/>
        </w:rPr>
        <w:t>Datum:</w:t>
      </w:r>
      <w:r>
        <w:t xml:space="preserve"> 12.04.2026</w:t>
      </w:r>
    </w:p>
    <w:p>
      <w:pPr>
        <w:jc w:val="left"/>
      </w:pPr>
      <w:r>
        <w:rPr>
          <w:b/>
        </w:rPr>
        <w:t>Bearbeitungsstand:</w:t>
      </w:r>
      <w:r>
        <w:t xml:space="preserve"> Erstprüfung, Vertiefung durch Klageentwurf (Aktenstück 16)</w:t>
      </w:r>
    </w:p>
    <w:p/>
    <w:p>
      <w:pPr>
        <w:pStyle w:val="Heading2"/>
      </w:pPr>
      <w:r>
        <w:rPr>
          <w:rFonts w:ascii="Times New Roman" w:hAnsi="Times New Roman"/>
        </w:rPr>
        <w:t>I. Einleitung und Prüfungsrahmen</w:t>
      </w:r>
    </w:p>
    <w:p>
      <w:pPr>
        <w:jc w:val="left"/>
      </w:pPr>
      <w:r>
        <w:t>Das vorliegende Memo prüft, welche Pflichten die Sparkasse Bremen gegenüber ihrer Kundin Eva-Maria Wittfeldt aus dem Wertpapierhandelsgesetz (WpHG), dem Zahlungsdiensteaufsichtsgesetz (ZAG), dem Kreditwesengesetz (KWG) sowie allgemeinen vertraglichen Schutzpflichten (BGB) hatte und ob diese Pflichten verletzt wurden.</w:t>
      </w:r>
    </w:p>
    <w:p/>
    <w:p>
      <w:pPr>
        <w:pStyle w:val="Heading2"/>
      </w:pPr>
      <w:r>
        <w:rPr>
          <w:rFonts w:ascii="Times New Roman" w:hAnsi="Times New Roman"/>
        </w:rPr>
        <w:t>II. WpHG-Pflichten</w:t>
      </w:r>
    </w:p>
    <w:p>
      <w:pPr>
        <w:pStyle w:val="Heading3"/>
      </w:pPr>
      <w:r>
        <w:rPr>
          <w:rFonts w:ascii="Times New Roman" w:hAnsi="Times New Roman"/>
        </w:rPr>
        <w:t>1. Lag eine Beratungsbeziehung vor?</w:t>
      </w:r>
    </w:p>
    <w:p>
      <w:pPr>
        <w:jc w:val="left"/>
      </w:pPr>
      <w:r>
        <w:t xml:space="preserve">Die entscheidende Vorfrage ist, ob zwischen der Sparkasse Bremen und Frau Wittfeldt eine </w:t>
      </w:r>
      <w:r>
        <w:rPr>
          <w:b/>
        </w:rPr>
        <w:t>Anlageberatungsbeziehung</w:t>
      </w:r>
      <w:r>
        <w:t xml:space="preserve"> im Sinne des § 2 Abs. 8 Nr. 10 WpHG bestanden hat, die die umfassenden Beratungs- und Geeignetheitspflichten der §§ 63 ff. WpHG auslöst.</w:t>
      </w:r>
    </w:p>
    <w:p>
      <w:pPr>
        <w:jc w:val="left"/>
      </w:pPr>
      <w:r>
        <w:rPr>
          <w:b/>
        </w:rPr>
        <w:t>Direktberatung:</w:t>
      </w:r>
      <w:r>
        <w:t xml:space="preserve"> Eine explizite Anlageberatung durch Sparkassenmitarbeiter zu CryptoFutureMax ist nicht dokumentiert. Die Sparkasse beriet Frau Wittfeldt nicht über Kryptowährungsinvestments.</w:t>
      </w:r>
    </w:p>
    <w:p>
      <w:pPr>
        <w:jc w:val="left"/>
      </w:pPr>
      <w:r>
        <w:rPr>
          <w:b/>
        </w:rPr>
        <w:t>Konkludente Beratungsbeziehung:</w:t>
      </w:r>
      <w:r>
        <w:t xml:space="preserve"> Fraglich ist, ob aus der Kombination von (1) langjähriger Kontobeziehung, (2) Darlehensgewährung im Januar 2025 und (3) Ausführung der sieben Auslandsüberweisungen eine konkludente Beratungsbeziehung entstand, die Aufklärungspflichten begründete.</w:t>
      </w:r>
    </w:p>
    <w:p>
      <w:pPr>
        <w:jc w:val="left"/>
      </w:pPr>
      <w:r>
        <w:t>Nach der Rechtsprechung des BGH (XI ZR 178/04; XI ZR 56/07) kann eine Beratungspflicht auch konkludent entstehen, wenn der Kunde erkennbar auf einen Hinweis des Kreditinstituts angewiesen ist. Dies ist vorliegend zumindest diskussionswürdig: Die Sparkasse hatte Kenntnis vom Gesamtbild des Kontos (geringe Einnahmen, große Auslandsüberweisungen) und hätte die wirtschaftliche Sinnlosigkeit der Transaktionen erkennen können.</w:t>
      </w:r>
    </w:p>
    <w:p>
      <w:pPr>
        <w:jc w:val="left"/>
      </w:pPr>
      <w:r>
        <w:rPr>
          <w:b/>
        </w:rPr>
        <w:t>Ergebnis:</w:t>
      </w:r>
      <w:r>
        <w:t xml:space="preserve"> Eine WpHG-Anlageberatungsbeziehung im technischen Sinne liegt nicht vor; Frau Wittfeldt hat die Sparkasse nicht als Anlageberaterin in Anspruch genommen. Jedoch bestehen andere Pflichtenquellen (s. unten).</w:t>
      </w:r>
    </w:p>
    <w:p/>
    <w:p>
      <w:pPr>
        <w:pStyle w:val="Heading3"/>
      </w:pPr>
      <w:r>
        <w:rPr>
          <w:rFonts w:ascii="Times New Roman" w:hAnsi="Times New Roman"/>
        </w:rPr>
        <w:t>2. Warnpflichten aus §§ 241 Abs. 2, 242 BGB</w:t>
      </w:r>
    </w:p>
    <w:p>
      <w:pPr>
        <w:jc w:val="left"/>
      </w:pPr>
      <w:r>
        <w:t xml:space="preserve">Unabhängig von der WpHG-Beratungspflicht ist anerkannt, dass ein Kreditinstitut im Rahmen seiner </w:t>
      </w:r>
      <w:r>
        <w:rPr>
          <w:b/>
        </w:rPr>
        <w:t>vertraglichen Rücksichtnahmepflichten</w:t>
      </w:r>
      <w:r>
        <w:t xml:space="preserve"> (§ 241 Abs. 2 BGB) verpflichtet ist, den Kunden vor erkennbaren Schäden zu warnen. Diese Pflicht ist nicht auf Wertpapierberatung beschränkt, sondern gilt für alle Bankgeschäfte.</w:t>
      </w:r>
    </w:p>
    <w:p>
      <w:pPr>
        <w:jc w:val="left"/>
      </w:pPr>
      <w:r>
        <w:rPr>
          <w:b/>
        </w:rPr>
        <w:t>Voraussetzungen nach BGH XI ZR 56/07:</w:t>
      </w:r>
    </w:p>
    <w:p>
      <w:pPr>
        <w:pStyle w:val="ListBullet"/>
      </w:pPr>
      <w:r>
        <w:t xml:space="preserve">Das Institut muss die Gefahr positiv kennen </w:t>
      </w:r>
      <w:r>
        <w:rPr>
          <w:b/>
        </w:rPr>
        <w:t>oder</w:t>
      </w:r>
    </w:p>
    <w:p>
      <w:pPr>
        <w:pStyle w:val="ListBullet"/>
      </w:pPr>
      <w:r>
        <w:t>die Gefahr muss sich dem Institut bei ordnungsgemäßer Sorgfalt aufdrängen.</w:t>
      </w:r>
    </w:p>
    <w:p>
      <w:pPr>
        <w:jc w:val="left"/>
      </w:pPr>
      <w:r>
        <w:rPr>
          <w:b/>
        </w:rPr>
        <w:t>Anwendung auf den vorliegenden Fall:</w:t>
      </w:r>
    </w:p>
    <w:p>
      <w:pPr>
        <w:jc w:val="left"/>
      </w:pPr>
      <w:r>
        <w:t>Die sieben Überweisungen wiesen folgende Warnzeichen auf: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Warnzeichen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Überweisungen in Drittstaaten (Hongkong, Zypern)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Hochrisikokategorie nach FATF/GwG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Verwendungszweck „CFMX", „AML Deposit"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Krypto-Investment-Terminologie; bekanntes Betrugsindiz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Sieben Überweisungen in 6 Monaten, Gesamtsumme 387.420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Völlig unproportional zum Einkommensniveau der Kundin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Empfänger-IBAN-Rotation (gleiches Empfängerunternehmen, wechselnde IBANs)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Typisches Muster für betrügerische Kontorotation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offensichtliche wirtschaftliche Erklärung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Geschäftsbeziehung, kein Handelspartner nachvollziehbar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Mindestens bei Überweisung Nr. 4 (89.000 EUR, Dez. 2024) hätte sich der Verdacht auf Betrug aufdrängen müssen. Spätestens jedoch bei Überweisung Nr. 5 (Jan. 2025, 51.000 EUR, aus dem soeben gewährten Darlehen) war die Warnpflicht verletzt.</w:t>
      </w:r>
    </w:p>
    <w:p/>
    <w:p>
      <w:pPr>
        <w:pStyle w:val="Heading2"/>
      </w:pPr>
      <w:r>
        <w:rPr>
          <w:rFonts w:ascii="Times New Roman" w:hAnsi="Times New Roman"/>
        </w:rPr>
        <w:t>III. KWG / GwG-Pflichten</w:t>
      </w:r>
    </w:p>
    <w:p>
      <w:pPr>
        <w:pStyle w:val="Heading3"/>
      </w:pPr>
      <w:r>
        <w:rPr>
          <w:rFonts w:ascii="Times New Roman" w:hAnsi="Times New Roman"/>
        </w:rPr>
        <w:t>§ 25h KWG – Interne Sicherungsmaßnahmen</w:t>
      </w:r>
    </w:p>
    <w:p>
      <w:pPr>
        <w:jc w:val="left"/>
      </w:pPr>
      <w:r>
        <w:t>§ 25h KWG verpflichtet Institute, angemessene interne Sicherungsmaßnahmen einzurichten, um Geldwäsche und Terrorismusfinanzierung zu verhindern. Dazu gehören automatisierte Transaktionsüberwachungssysteme (TÜS), die Muster wie die hier vorliegenden erkennen sollten.</w:t>
      </w:r>
    </w:p>
    <w:p>
      <w:pPr>
        <w:jc w:val="left"/>
      </w:pPr>
      <w:r>
        <w:rPr>
          <w:b/>
        </w:rPr>
        <w:t>§ 43 GwG – Verdachtsmeldepflicht:</w:t>
      </w:r>
      <w:r>
        <w:t xml:space="preserve"> Bei Vorliegen von Tatsachen, die auf Geldwäsche hindeuten, ist das Institut zur Erstattung einer Verdachtsmeldung bei der FIU (Financial Intelligence Unit) verpflichtet. Hier: sieben Auslandsüberweisungen an unbekannte Gegenparteien in Hochrisiko-Jurisdiktionen durch eine Kundin mit nachweislich niedrigem Einkommen – eine GwG-Verdachtsmeldung wäre angemessen gewesen.</w:t>
      </w:r>
    </w:p>
    <w:p>
      <w:pPr>
        <w:jc w:val="left"/>
      </w:pPr>
      <w:r>
        <w:rPr>
          <w:b/>
        </w:rPr>
        <w:t>Haftung bei unterlassener Verdachtsmeldung:</w:t>
      </w:r>
      <w:r>
        <w:t xml:space="preserve"> Das OLG Frankfurt (3 U 37/21) hat 2022 entschieden, dass die unterlassene Verdachtsmeldung und die daraus resultierende Nichtverhinderung einer Betrugsüberweisung zu einer Amtshaftung nach § 839 BGB i.V.m. Art. 34 GG führen kann, wenn das Institut quasi-hoheitliche GwG-Pflichten verletzt. Diese Rechtsprechung ist auf den vorliegenden Fall anwendbar.</w:t>
      </w:r>
    </w:p>
    <w:p/>
    <w:p>
      <w:pPr>
        <w:pStyle w:val="Heading2"/>
      </w:pPr>
      <w:r>
        <w:rPr>
          <w:rFonts w:ascii="Times New Roman" w:hAnsi="Times New Roman"/>
        </w:rPr>
        <w:t>IV. ZAG – Pflichten des Zahlungsdienstleisters</w:t>
      </w:r>
    </w:p>
    <w:p>
      <w:pPr>
        <w:pStyle w:val="Heading3"/>
      </w:pPr>
      <w:r>
        <w:rPr>
          <w:rFonts w:ascii="Times New Roman" w:hAnsi="Times New Roman"/>
        </w:rPr>
        <w:t>§ 675l BGB – Sorgfaltspflichten des Zahlungsdienstnutzers (zur Abgrenzung)</w:t>
      </w:r>
    </w:p>
    <w:p>
      <w:pPr>
        <w:jc w:val="left"/>
      </w:pPr>
      <w:r>
        <w:t>Grundsätzlich trägt der Zahler das Risiko autorisierter Zahlungen, wenn er die Zahlung selbst veranlasst. Jedoch gilt:</w:t>
      </w:r>
    </w:p>
    <w:p>
      <w:pPr>
        <w:pStyle w:val="Heading3"/>
      </w:pPr>
      <w:r>
        <w:rPr>
          <w:rFonts w:ascii="Times New Roman" w:hAnsi="Times New Roman"/>
        </w:rPr>
        <w:t>§ 675v Abs. 3 BGB – Haftungsverschiebung</w:t>
      </w:r>
    </w:p>
    <w:p>
      <w:pPr>
        <w:jc w:val="left"/>
      </w:pPr>
      <w:r>
        <w:t>Wenn das Kreditinstitut keine starke Kundenauthentifizierung (SCA, Art. 97 PSD2, umgesetzt in § 55 ZAG) angewendet hat, haftet es für Schäden. Ob bei der Sparkasse SCA für Auslandsüberweisungen dieser Größenordnung zwingend vorgeschrieben und angewendet wurde, ist noch zu klären (Auskunftsanfrage an Sparkasse mit Frist 12.05.2026).</w:t>
      </w:r>
    </w:p>
    <w:p/>
    <w:p>
      <w:pPr>
        <w:pStyle w:val="Heading2"/>
      </w:pPr>
      <w:r>
        <w:rPr>
          <w:rFonts w:ascii="Times New Roman" w:hAnsi="Times New Roman"/>
        </w:rPr>
        <w:t>V. Ergebnis und Handlungsempfehlung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Pflichtenquelle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Verletzt?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241 Abs. 2 BGB (vertragliche Rücksicht)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Warnpflicht bei erkennbarer Betrugsgefahr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  <w:r>
              <w:rPr>
                <w:rFonts w:ascii="Times New Roman" w:hAnsi="Times New Roman"/>
                <w:sz w:val="20"/>
              </w:rPr>
              <w:t xml:space="preserve"> (ab Überweisung 4/5)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63 WpHG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Anlageberatungspflicht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direkt anwendbar (keine Beratung)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25h KWG / § 43 GwG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Transaktionsüberwachung / Verdachtsmeldung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 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675v Abs. 3 BGB / § 55 ZAG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SCA bei Auslandsüberweisungen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klären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488, 490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Rechtmäßigkeit Kreditkündigung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Streitig (→ Aktenstück 12)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Die Klage vor dem LG Bremen (Az. 4 O 215/26) sollte primär auf §§ 280 Abs. 1, 241 Abs. 2 BGB gestützt werden. Sekundär sind KWG/GwG-Verletzungen als Indiz für die Pflichtverletzung vorzutragen. Die Quoten (Mitverschulden Sparkasse vs. Eigenverschulden Wittfeldt) sind durch das Gericht abzuwägen; realistische Bandbreite: 30–70 % Haftungsanteil Sparkasse.</w:t>
      </w:r>
    </w:p>
    <w:p/>
    <w:p>
      <w:pPr>
        <w:jc w:val="left"/>
      </w:pPr>
      <w:r>
        <w:rPr>
          <w:i/>
        </w:rPr>
        <w:t>Erstellt: 12.04.2026 · Dr. S. Pflüger</w:t>
      </w:r>
    </w:p>
    <w:p>
      <w:pPr>
        <w:jc w:val="left"/>
      </w:pPr>
      <w:r>
        <w:rPr>
          <w:i/>
        </w:rPr>
        <w:t>Quellen: BGH XI ZR 56/07 (dejure.org), OLG Frankfurt 3 U 37/21 (openjur.de), §§ 25h KWG, 43 GwG, 675u ff. BGB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