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Rückforderungspaket gegen Empfängerbanken – § 675u BGB und Bereicherungsrecht</w:t>
      </w:r>
    </w:p>
    <w:p>
      <w:pPr>
        <w:jc w:val="left"/>
      </w:pPr>
      <w:r>
        <w:rPr>
          <w:b/>
        </w:rPr>
        <w:t>Aktenzeichen:</w:t>
      </w:r>
      <w:r>
        <w:t xml:space="preserve"> PS-BKR-2026-0412</w:t>
      </w:r>
    </w:p>
    <w:p>
      <w:pPr>
        <w:jc w:val="left"/>
      </w:pPr>
      <w:r>
        <w:rPr>
          <w:b/>
        </w:rPr>
        <w:t>Verfasser:</w:t>
      </w:r>
      <w:r>
        <w:t xml:space="preserve"> Dr. Severin Pflüger, Fachanwalt für Bank- und Kapitalmarktrecht</w:t>
      </w:r>
    </w:p>
    <w:p>
      <w:pPr>
        <w:jc w:val="left"/>
      </w:pPr>
      <w:r>
        <w:rPr>
          <w:b/>
        </w:rPr>
        <w:t>Datum:</w:t>
      </w:r>
      <w:r>
        <w:t xml:space="preserve"> 15.04.2026</w:t>
      </w:r>
    </w:p>
    <w:p/>
    <w:p>
      <w:pPr>
        <w:pStyle w:val="Heading2"/>
      </w:pPr>
      <w:r>
        <w:rPr>
          <w:rFonts w:ascii="Times New Roman" w:hAnsi="Times New Roman"/>
        </w:rPr>
        <w:t>I. Überblick</w:t>
      </w:r>
    </w:p>
    <w:p>
      <w:pPr>
        <w:jc w:val="left"/>
      </w:pPr>
      <w:r>
        <w:t xml:space="preserve">Neben der Inanspruchnahme der Sparkasse Bremen (Aktenstücke 07, 08, 16) prüfen wir, ob und welche Ansprüche direkt gegen die </w:t>
      </w:r>
      <w:r>
        <w:rPr>
          <w:b/>
        </w:rPr>
        <w:t>Empfängerbanken</w:t>
      </w:r>
      <w:r>
        <w:t xml:space="preserve"> geltend gemacht werden können:</w:t>
      </w:r>
    </w:p>
    <w:p>
      <w:pPr>
        <w:pStyle w:val="ListNumber"/>
      </w:pPr>
      <w:r>
        <w:rPr>
          <w:b/>
        </w:rPr>
        <w:t>ZA Bank Ltd.</w:t>
      </w:r>
      <w:r>
        <w:t>, Hongkong (3 Überweisungen, 188.500 EUR)</w:t>
      </w:r>
    </w:p>
    <w:p>
      <w:pPr>
        <w:pStyle w:val="ListNumber"/>
      </w:pPr>
      <w:r>
        <w:rPr>
          <w:b/>
        </w:rPr>
        <w:t>Trustless Banking S.A.</w:t>
      </w:r>
      <w:r>
        <w:t>, Tallinn, Estland (3 Überweisungen, 140.420 EUR)</w:t>
      </w:r>
    </w:p>
    <w:p>
      <w:pPr>
        <w:pStyle w:val="ListNumber"/>
      </w:pPr>
      <w:r>
        <w:rPr>
          <w:b/>
        </w:rPr>
        <w:t>Cyprus Popular Bank</w:t>
      </w:r>
      <w:r>
        <w:t xml:space="preserve"> (Nachfolgeeinrichtung), Zypern (1 Überweisung, 58.500 EUR)</w:t>
      </w:r>
    </w:p>
    <w:p/>
    <w:p>
      <w:pPr>
        <w:pStyle w:val="Heading2"/>
      </w:pPr>
      <w:r>
        <w:rPr>
          <w:rFonts w:ascii="Times New Roman" w:hAnsi="Times New Roman"/>
        </w:rPr>
        <w:t>II. Autorisierung vs. Nicht-Autorisierung</w:t>
      </w:r>
    </w:p>
    <w:p>
      <w:pPr>
        <w:pStyle w:val="Heading3"/>
      </w:pPr>
      <w:r>
        <w:rPr>
          <w:rFonts w:ascii="Times New Roman" w:hAnsi="Times New Roman"/>
        </w:rPr>
        <w:t>Grundfrage: § 675j, § 675u BGB</w:t>
      </w:r>
    </w:p>
    <w:p>
      <w:pPr>
        <w:jc w:val="left"/>
      </w:pPr>
      <w:r>
        <w:t xml:space="preserve">§ 675u Satz 1 BGB gewährt dem Zahler einen Erstattungsanspruch gegen seinen Zahlungsdienstleister (Sparkasse) bei </w:t>
      </w:r>
      <w:r>
        <w:rPr>
          <w:b/>
        </w:rPr>
        <w:t>nicht autorisierten</w:t>
      </w:r>
      <w:r>
        <w:t xml:space="preserve"> Zahlungsvorgängen. Der Begriff der Autorisierung bestimmt sich nach § 675j BGB: Ein Zahlungsvorgang ist autorisiert, wenn der Zahler in ihn eingewilligt hat.</w:t>
      </w:r>
    </w:p>
    <w:p>
      <w:pPr>
        <w:jc w:val="left"/>
      </w:pPr>
      <w:r>
        <w:rPr>
          <w:b/>
        </w:rPr>
        <w:t>Ergebnis zur Autorisierung:</w:t>
      </w:r>
      <w:r>
        <w:t xml:space="preserve"> Frau Wittfeldt hat alle sieben Überweisungen selbst veranlasst; sie hat die Überweisungsaufträge unterzeichnet oder online erteilt. Die Überweisungen sind damit im Verhältnis Wittfeldt → Sparkasse </w:t>
      </w:r>
      <w:r>
        <w:rPr>
          <w:b/>
        </w:rPr>
        <w:t>autorisiert</w:t>
      </w:r>
      <w:r>
        <w:t xml:space="preserve"> im Sinne des § 675j BGB. Ein direkter Erstattungsanspruch nach § 675u BGB gegen die Sparkasse scheidet grundsätzlich aus.</w:t>
      </w:r>
    </w:p>
    <w:p>
      <w:pPr>
        <w:jc w:val="left"/>
      </w:pPr>
      <w:r>
        <w:rPr>
          <w:b/>
        </w:rPr>
        <w:t>Ausnahme – Betrugsinduzierte Autorisierung:</w:t>
      </w:r>
      <w:r>
        <w:t xml:space="preserve"> Es ist diskutiert, ob eine täuschungsinduzierte Autorisierung überhaupt als wirksame Autorisierung gilt. Der BGH hat dies in seiner Rechtsprechung zur Phishing-Haftung differenziert: Bei Manipulation des Onlinebankingsystems durch Dritte scheidet Autorisierung aus. Im vorliegenden Fall jedoch hat Frau Wittfeldt durch eigene Handlung überwiesen; die Täuschung betrifft nur den Verwendungszweck, nicht den Zahlungsvorgang selbst → Autorisierung ist gegeben.</w:t>
      </w:r>
    </w:p>
    <w:p/>
    <w:p>
      <w:pPr>
        <w:pStyle w:val="Heading2"/>
      </w:pPr>
      <w:r>
        <w:rPr>
          <w:rFonts w:ascii="Times New Roman" w:hAnsi="Times New Roman"/>
        </w:rPr>
        <w:t>III. Ansprüche gegen Empfängerbanken</w:t>
      </w:r>
    </w:p>
    <w:p>
      <w:pPr>
        <w:pStyle w:val="Heading3"/>
      </w:pPr>
      <w:r>
        <w:rPr>
          <w:rFonts w:ascii="Times New Roman" w:hAnsi="Times New Roman"/>
        </w:rPr>
        <w:t>1. Direkte Ansprüche nach § 812 BGB (Bereicherungsrecht)</w:t>
      </w:r>
    </w:p>
    <w:p>
      <w:pPr>
        <w:jc w:val="left"/>
      </w:pPr>
      <w:r>
        <w:t>Ob die Empfängerbanken aus ungerechtfertigter Bereicherung haften, hängt davon ab, ob sie aus der Leistung von Frau Wittfeldt bereichert sind oder ob zwischen Wittfeldt und den Empfängerbanken ein „Leistungsverhältnis" besteht.</w:t>
      </w:r>
    </w:p>
    <w:p>
      <w:pPr>
        <w:jc w:val="left"/>
      </w:pPr>
      <w:r>
        <w:rPr>
          <w:b/>
        </w:rPr>
        <w:t>Problem der Anweisungskette:</w:t>
      </w:r>
      <w:r>
        <w:t xml:space="preserve"> In einer klassischen Überweisung gilt die Anweisungsstruktur: Wittfeldt → Sparkasse (Anweisung) → Empfängerbank. Die Empfängerbank erhält im Deckungsverhältnis; ein unmittelbarer Bereicherungsanspruch des Anweisenden (Wittfeldt) gegen die Empfängerbank ist nach BGH-Rspr. (BGHZ 147, 145) grundsätzlich ausgeschlossen, solange die Anweisung wirksam ist.</w:t>
      </w:r>
    </w:p>
    <w:p>
      <w:pPr>
        <w:jc w:val="left"/>
      </w:pPr>
      <w:r>
        <w:rPr>
          <w:b/>
        </w:rPr>
        <w:t>Ausnahme bei Bösgläubigkeit:</w:t>
      </w:r>
      <w:r>
        <w:t xml:space="preserve"> Eine unmittelbare Bereicherungsklage ist möglich, wenn die Empfängerbank von der Sittenwidrigkeit / dem Betrug wusste oder grob fahrlässig nicht wusste (§ 819 BGB). Indizien:</w:t>
      </w:r>
    </w:p>
    <w:p>
      <w:pPr>
        <w:pStyle w:val="ListBullet"/>
      </w:pPr>
      <w:r>
        <w:t>Trustless Banking S.A. erscheint in keiner BaFin-Datenbank als reguliertes Institut.</w:t>
      </w:r>
    </w:p>
    <w:p>
      <w:pPr>
        <w:pStyle w:val="ListBullet"/>
      </w:pPr>
      <w:r>
        <w:t>ZA Bank Ltd. Hongkong ist eine lizenzierte Neobank, die jedoch bekanntermaßen Compliance-Schwächen bei der Durchleitungskontrolle aufweist.</w:t>
      </w:r>
    </w:p>
    <w:p>
      <w:pPr>
        <w:pStyle w:val="ListBullet"/>
      </w:pPr>
      <w:r>
        <w:t>Cyprus Popular Bank war zum Zeitpunkt der Überweisung im Insolvenzverfahren / Bail-in-Prozess.</w:t>
      </w:r>
    </w:p>
    <w:p>
      <w:pPr>
        <w:pStyle w:val="Heading3"/>
      </w:pPr>
      <w:r>
        <w:rPr>
          <w:rFonts w:ascii="Times New Roman" w:hAnsi="Times New Roman"/>
        </w:rPr>
        <w:t>2. Schadensersatz aus § 826 BGB (sittenwidrige Schädigung)</w:t>
      </w:r>
    </w:p>
    <w:p>
      <w:pPr>
        <w:jc w:val="left"/>
      </w:pPr>
      <w:r>
        <w:t>Wenn die Empfängerbanken wissentlich Gelder für organisierte Cybercrime-Gruppen entgegennahmen, kommt ein Anspruch aus § 826 BGB in Betracht. Zu belegen ist die Kenntnis oder grob fahrlässige Unkenntnis vom betrügerischen Hintergrund.</w:t>
      </w:r>
    </w:p>
    <w:p>
      <w:pPr>
        <w:jc w:val="left"/>
      </w:pPr>
      <w:r>
        <w:rPr>
          <w:b/>
        </w:rPr>
        <w:t>Beweismittel:</w:t>
      </w:r>
      <w:r>
        <w:t xml:space="preserve"> Für diese Ansprüche sind internationale Rechtshilfeersuchen erforderlich. Die Strafanzeige (Aktenstück 06) enthält entsprechende Anträge.</w:t>
      </w:r>
    </w:p>
    <w:p>
      <w:pPr>
        <w:pStyle w:val="Heading3"/>
      </w:pPr>
      <w:r>
        <w:rPr>
          <w:rFonts w:ascii="Times New Roman" w:hAnsi="Times New Roman"/>
        </w:rPr>
        <w:t>3. Rückforderung nach SWIFT-Recall / Zahlungsrückruf</w:t>
      </w:r>
    </w:p>
    <w:p>
      <w:pPr>
        <w:jc w:val="left"/>
      </w:pPr>
      <w:r>
        <w:t xml:space="preserve">Innerhalb von 10 Werktagen nach Ausführung einer SWIFT-Überweisung kann die Absenderbank einen </w:t>
      </w:r>
      <w:r>
        <w:rPr>
          <w:b/>
        </w:rPr>
        <w:t>Zahlungsrückruf (Recall)</w:t>
      </w:r>
      <w:r>
        <w:t xml:space="preserve"> initiieren. Da alle sieben Überweisungen bereits im Zeitraum September 2024 – März 2025 erfolgten, ist diese Frist längst abgelaufen. Für zukünftige ähnliche Fälle wäre sofortige Reklamation innerhalb dieser Frist entscheidend.</w:t>
      </w:r>
    </w:p>
    <w:p>
      <w:pPr>
        <w:pStyle w:val="Heading3"/>
      </w:pPr>
      <w:r>
        <w:rPr>
          <w:rFonts w:ascii="Times New Roman" w:hAnsi="Times New Roman"/>
        </w:rPr>
        <w:t>4. Strafprozessuale Vermögensabschöpfung (§§ 73 ff. StGB)</w:t>
      </w:r>
    </w:p>
    <w:p>
      <w:pPr>
        <w:jc w:val="left"/>
      </w:pPr>
      <w:r>
        <w:t xml:space="preserve">Der erfolgversprechendste Weg zur Vermögensrückgewinnung ist die strafprozessuale </w:t>
      </w:r>
      <w:r>
        <w:rPr>
          <w:b/>
        </w:rPr>
        <w:t>Vermögensabschöpfung</w:t>
      </w:r>
      <w:r>
        <w:t xml:space="preserve"> (§ 73 StGB: Einziehung von Taterträgen). In dem bei der Polizei Bremen ZKD eingeleiteten Verfahren (AZ: ZD 3001 UJs 8841/26) ist zu beantragen:</w:t>
      </w:r>
    </w:p>
    <w:p>
      <w:pPr>
        <w:pStyle w:val="ListBullet"/>
      </w:pPr>
      <w:r>
        <w:rPr>
          <w:b/>
        </w:rPr>
        <w:t>Sicherungsbeschlagnahme</w:t>
      </w:r>
      <w:r>
        <w:t xml:space="preserve"> der noch auf Empfängerkonten befindlichen Mittel durch internationale Rechtshilfeersuchen (MLAT).</w:t>
      </w:r>
    </w:p>
    <w:p>
      <w:pPr>
        <w:pStyle w:val="ListBullet"/>
      </w:pPr>
      <w:r>
        <w:rPr>
          <w:b/>
        </w:rPr>
        <w:t>Einziehungsanordnung</w:t>
      </w:r>
      <w:r>
        <w:t xml:space="preserve"> im Urteil gegen die Täter (§ 73 Abs. 1 StGB).</w:t>
      </w:r>
    </w:p>
    <w:p>
      <w:pPr>
        <w:pStyle w:val="ListBullet"/>
      </w:pPr>
      <w:r>
        <w:rPr>
          <w:b/>
        </w:rPr>
        <w:t>Entschädigungsanspruch nach § 73e Abs. 1 StGB:</w:t>
      </w:r>
      <w:r>
        <w:t xml:space="preserve"> Im Falle der Einziehung steht Frau Wittfeldt als Verletzter ein vorrangiger Entschädigungsanspruch zu.</w:t>
      </w:r>
    </w:p>
    <w:p>
      <w:pPr>
        <w:jc w:val="left"/>
      </w:pPr>
      <w:r>
        <w:rPr>
          <w:b/>
        </w:rPr>
        <w:t>Praktische Erfolgsaussichten:</w:t>
      </w:r>
      <w:r>
        <w:t xml:space="preserve"> Bei Überweisungen nach Hongkong und in Drittstaaten ohne MLAT-Abkommen ist die tatsächliche Rückgewinnung schwierig. Im Estland-Strang (Trustless Banking S.A.) besteht aufgrund des EU-Rahmens (EAO, EAPO) eine bessere Chance.</w:t>
      </w:r>
    </w:p>
    <w:p/>
    <w:p>
      <w:pPr>
        <w:pStyle w:val="Heading2"/>
      </w:pPr>
      <w:r>
        <w:rPr>
          <w:rFonts w:ascii="Times New Roman" w:hAnsi="Times New Roman"/>
        </w:rPr>
        <w:t>IV. Europäischer Pfändungsbeschluss (EAPO) gegen Trustless Banking S.A.</w:t>
      </w:r>
    </w:p>
    <w:p>
      <w:pPr>
        <w:jc w:val="left"/>
      </w:pPr>
      <w:r>
        <w:t xml:space="preserve">Für die estnische Empfängerbank Trustless Banking S.A. kommt der </w:t>
      </w:r>
      <w:r>
        <w:rPr>
          <w:b/>
        </w:rPr>
        <w:t>Europäische Kontenpfändungsbeschluss (EAPO)</w:t>
      </w:r>
      <w:r>
        <w:t xml:space="preserve"> nach VO (EU) 655/2014 in Betracht. Voraussetzungen:</w:t>
      </w:r>
    </w:p>
    <w:p>
      <w:pPr>
        <w:pStyle w:val="ListNumber"/>
      </w:pPr>
      <w:r>
        <w:t>Glaubhaftmachung des Anspruchs (Kontoauszüge, Strafanzeige: vorhanden).</w:t>
      </w:r>
    </w:p>
    <w:p>
      <w:pPr>
        <w:pStyle w:val="ListNumber"/>
      </w:pPr>
      <w:r>
        <w:t>Dringlichkeitsgefährdung (Gefahr der Kontoauflösung): wahrscheinlich.</w:t>
      </w:r>
    </w:p>
    <w:p>
      <w:pPr>
        <w:pStyle w:val="ListNumber"/>
      </w:pPr>
      <w:r>
        <w:t>Zuständigkeit: Amtsgericht Bremen-Blumenthal / LG Bremen (Art. 6 VO 655/2014).</w:t>
      </w:r>
    </w:p>
    <w:p>
      <w:pPr>
        <w:jc w:val="left"/>
      </w:pPr>
      <w:r>
        <w:rPr>
          <w:b/>
        </w:rPr>
        <w:t>Empfehlung:</w:t>
      </w:r>
      <w:r>
        <w:t xml:space="preserve"> EAPO-Antrag parallel zur Hauptklage vorbereiten.</w:t>
      </w:r>
    </w:p>
    <w:p/>
    <w:p>
      <w:pPr>
        <w:pStyle w:val="Heading2"/>
      </w:pPr>
      <w:r>
        <w:rPr>
          <w:rFonts w:ascii="Times New Roman" w:hAnsi="Times New Roman"/>
        </w:rPr>
        <w:t>V. Zusammenfassung Rechtswegstrategie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Instrument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Erfolgswahrscheinlichkeit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Zeitaufwand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Schadensersatz ./. Sparkasse (§ 280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Bremen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mittel–hoch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12–24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EAPO ./. Trustless Banking S.A.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Estland (EU)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3–6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Recall SWIFT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gering (Frist abgelaufen)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Strafprozessuale Einziehung (§ 73 StGB)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Täter + 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unsicher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24–48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826 BGB ./. Empfängerbanken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 Bank, Trustless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 (Bösgläubigkeit schwer beweisbar)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18–36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MLAT-Rechtshilfe Hongkong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 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36–72 Monate</w:t>
            </w:r>
          </w:p>
        </w:tc>
      </w:tr>
    </w:tbl>
    <w:p/>
    <w:p>
      <w:pPr>
        <w:jc w:val="left"/>
      </w:pPr>
      <w:r>
        <w:rPr>
          <w:i/>
        </w:rPr>
        <w:t>Erstellt: 15.04.2026 · Dr. S. Pflüger</w:t>
      </w:r>
    </w:p>
    <w:p>
      <w:pPr>
        <w:jc w:val="left"/>
      </w:pPr>
      <w:r>
        <w:rPr>
          <w:i/>
        </w:rPr>
        <w:t>Quellen: BGH BGHZ 147, 145 (dejure.org); VO (EU) 655/2014 (EAPO); §§ 73 ff. StGB; §§ 812, 826 BGB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