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Kreditkündigung Sparkasse Bremen – Dokumentation und Analyse</w:t>
      </w:r>
    </w:p>
    <w:p>
      <w:pPr>
        <w:jc w:val="left"/>
      </w:pPr>
      <w:r>
        <w:rPr>
          <w:b/>
        </w:rPr>
        <w:t>Aktenzeichen:</w:t>
      </w:r>
      <w:r>
        <w:t xml:space="preserve"> PS-BKR-2026-0412</w:t>
      </w:r>
    </w:p>
    <w:p>
      <w:pPr>
        <w:jc w:val="left"/>
      </w:pPr>
      <w:r>
        <w:rPr>
          <w:b/>
        </w:rPr>
        <w:t>Verfasser:</w:t>
      </w:r>
      <w:r>
        <w:t xml:space="preserve"> Dr. Severin Pflüger</w:t>
      </w:r>
    </w:p>
    <w:p>
      <w:pPr>
        <w:jc w:val="left"/>
      </w:pPr>
      <w:r>
        <w:rPr>
          <w:b/>
        </w:rPr>
        <w:t>Datum:</w:t>
      </w:r>
      <w:r>
        <w:t xml:space="preserve"> 18.04.2026</w:t>
      </w:r>
    </w:p>
    <w:p/>
    <w:p>
      <w:pPr>
        <w:pStyle w:val="Heading2"/>
      </w:pPr>
      <w:r>
        <w:rPr>
          <w:rFonts w:ascii="Times New Roman" w:hAnsi="Times New Roman"/>
        </w:rPr>
        <w:t>I. Kreditkündigung – Originaldokument (Zusammenfassung)</w:t>
      </w:r>
    </w:p>
    <w:p>
      <w:pPr>
        <w:jc w:val="left"/>
      </w:pPr>
      <w:r>
        <w:rPr>
          <w:b/>
        </w:rPr>
        <w:t>Schreiben der Sparkasse Bremen vom 14.11.2025</w:t>
      </w:r>
    </w:p>
    <w:p>
      <w:pPr>
        <w:jc w:val="left"/>
      </w:pPr>
      <w:r>
        <w:rPr>
          <w:b/>
        </w:rPr>
        <w:t>An:</w:t>
      </w:r>
      <w:r>
        <w:t xml:space="preserve"> Eva-Maria Wittfeldt, Kiefernstraße 17, 28757 Bremen</w:t>
      </w:r>
    </w:p>
    <w:p>
      <w:pPr>
        <w:jc w:val="left"/>
      </w:pPr>
      <w:r>
        <w:rPr>
          <w:b/>
        </w:rPr>
        <w:t>Betreff:</w:t>
      </w:r>
      <w:r>
        <w:t xml:space="preserve"> Kündigung Darlehensvertrag Nr. 24-01-0872/75 (Hypothekendarlehen)</w:t>
      </w:r>
    </w:p>
    <w:p>
      <w:pPr>
        <w:jc w:val="left"/>
      </w:pPr>
      <w:r>
        <w:t>Auszug sinngemäß (Original in Papierakte):</w:t>
      </w:r>
    </w:p>
    <w:p>
      <w:pPr>
        <w:ind w:left="567"/>
      </w:pPr>
      <w:r>
        <w:rPr>
          <w:i/>
        </w:rPr>
        <w:t>„Sehr geehrte Frau Wittfeldt,</w:t>
      </w:r>
    </w:p>
    <w:p>
      <w:pPr>
        <w:ind w:left="567"/>
      </w:pPr>
    </w:p>
    <w:p>
      <w:pPr>
        <w:ind w:left="567"/>
      </w:pPr>
      <w:r>
        <w:rPr>
          <w:i/>
        </w:rPr>
        <w:t>aufgrund des dauerhaften Zahlungsverzuges mit den monatlichen Darlehensraten in Höhe von 623,00 EUR (zuletzt ausstehend seit Mai 2025; fünf Raten à 623,00 EUR = 3.115,00 EUR offen) sowie der deutlichen Verschlechterung Ihrer Vermögensverhältnisse kündigen wir den oben genannten Darlehensvertrag gemäß § 490 Abs. 1 BGB mit sofortiger Wirkung.</w:t>
      </w:r>
    </w:p>
    <w:p>
      <w:pPr>
        <w:ind w:left="567"/>
      </w:pPr>
    </w:p>
    <w:p>
      <w:pPr>
        <w:ind w:left="567"/>
      </w:pPr>
      <w:r>
        <w:rPr>
          <w:i/>
        </w:rPr>
        <w:t xml:space="preserve">Die gesamte offene Darlehensforderung in Höhe von </w:t>
      </w:r>
      <w:r>
        <w:rPr>
          <w:b/>
          <w:i/>
        </w:rPr>
        <w:t>71.380,00 EUR</w:t>
      </w:r>
      <w:r>
        <w:rPr>
          <w:i/>
        </w:rPr>
        <w:t xml:space="preserve"> (Restvaluta zum 14.11.2025 inkl. aufgelaufener Zinsen und Verzugszinsen) ist innerhalb von 14 Tagen, d.h. bis zum </w:t>
      </w:r>
      <w:r>
        <w:rPr>
          <w:b/>
          <w:i/>
        </w:rPr>
        <w:t>28.11.2025</w:t>
      </w:r>
      <w:r>
        <w:rPr>
          <w:i/>
        </w:rPr>
        <w:t>, zur Zahlung fällig.</w:t>
      </w:r>
    </w:p>
    <w:p>
      <w:pPr>
        <w:ind w:left="567"/>
      </w:pPr>
    </w:p>
    <w:p>
      <w:pPr>
        <w:ind w:left="567"/>
      </w:pPr>
      <w:r>
        <w:rPr>
          <w:i/>
        </w:rPr>
        <w:t>Wir weisen darauf hin, dass wir nach Ablauf dieser Frist die Grundschuld über Ihre Immobilie Kiefernstraße 17, 28757 Bremen, in Höhe von 75.000,00 EUR verwerten werden (Zwangsversteigerungsantrag).</w:t>
      </w:r>
    </w:p>
    <w:p>
      <w:pPr>
        <w:ind w:left="567"/>
      </w:pPr>
    </w:p>
    <w:p>
      <w:pPr>
        <w:ind w:left="567"/>
      </w:pPr>
      <w:r>
        <w:rPr>
          <w:i/>
        </w:rPr>
        <w:t>Zudem werden wir die offene Forderung der Schufa Holding AG melden.</w:t>
      </w:r>
    </w:p>
    <w:p>
      <w:pPr>
        <w:ind w:left="567"/>
      </w:pPr>
    </w:p>
    <w:p>
      <w:pPr>
        <w:ind w:left="567"/>
      </w:pPr>
      <w:r>
        <w:rPr>
          <w:i/>
        </w:rPr>
        <w:t>Mit freundlichen Grüßen</w:t>
      </w:r>
    </w:p>
    <w:p>
      <w:pPr>
        <w:ind w:left="567"/>
      </w:pPr>
      <w:r>
        <w:rPr>
          <w:i/>
        </w:rPr>
        <w:t>Sparkasse Bremen, Kreditabteilung"</w:t>
      </w:r>
    </w:p>
    <w:p/>
    <w:p>
      <w:pPr>
        <w:pStyle w:val="Heading2"/>
      </w:pPr>
      <w:r>
        <w:rPr>
          <w:rFonts w:ascii="Times New Roman" w:hAnsi="Times New Roman"/>
        </w:rPr>
        <w:t>II. Darlehensdetails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Darlehensvertrag Nr.</w:t>
            </w:r>
          </w:p>
        </w:tc>
        <w:tc>
          <w:tcPr>
            <w:tcW w:type="dxa" w:w="4536"/>
          </w:tcPr>
          <w:p>
            <w:r>
              <w:rPr>
                <w:rFonts w:ascii="Times New Roman" w:hAnsi="Times New Roman"/>
                <w:sz w:val="20"/>
              </w:rPr>
              <w:t>24-01-0872/75</w:t>
            </w:r>
          </w:p>
        </w:tc>
      </w:tr>
      <w:tr>
        <w:tc>
          <w:tcPr>
            <w:tcW w:type="dxa" w:w="4536"/>
          </w:tcPr>
          <w:p>
            <w:r>
              <w:rPr>
                <w:rFonts w:ascii="Times New Roman" w:hAnsi="Times New Roman"/>
                <w:sz w:val="20"/>
              </w:rPr>
              <w:t>Darlehensbetrag</w:t>
            </w:r>
          </w:p>
        </w:tc>
        <w:tc>
          <w:tcPr>
            <w:tcW w:type="dxa" w:w="4536"/>
          </w:tcPr>
          <w:p>
            <w:r>
              <w:rPr>
                <w:rFonts w:ascii="Times New Roman" w:hAnsi="Times New Roman"/>
                <w:sz w:val="20"/>
              </w:rPr>
              <w:t>75.000,00 EUR</w:t>
            </w:r>
          </w:p>
        </w:tc>
      </w:tr>
      <w:tr>
        <w:tc>
          <w:tcPr>
            <w:tcW w:type="dxa" w:w="4536"/>
          </w:tcPr>
          <w:p>
            <w:r>
              <w:rPr>
                <w:rFonts w:ascii="Times New Roman" w:hAnsi="Times New Roman"/>
                <w:sz w:val="20"/>
              </w:rPr>
              <w:t>Datum Vertragsschluss</w:t>
            </w:r>
          </w:p>
        </w:tc>
        <w:tc>
          <w:tcPr>
            <w:tcW w:type="dxa" w:w="4536"/>
          </w:tcPr>
          <w:p>
            <w:r>
              <w:rPr>
                <w:rFonts w:ascii="Times New Roman" w:hAnsi="Times New Roman"/>
                <w:sz w:val="20"/>
              </w:rPr>
              <w:t>07.01.2025</w:t>
            </w:r>
          </w:p>
        </w:tc>
      </w:tr>
      <w:tr>
        <w:tc>
          <w:tcPr>
            <w:tcW w:type="dxa" w:w="4536"/>
          </w:tcPr>
          <w:p>
            <w:r>
              <w:rPr>
                <w:rFonts w:ascii="Times New Roman" w:hAnsi="Times New Roman"/>
                <w:sz w:val="20"/>
              </w:rPr>
              <w:t>Datum Auszahlung</w:t>
            </w:r>
          </w:p>
        </w:tc>
        <w:tc>
          <w:tcPr>
            <w:tcW w:type="dxa" w:w="4536"/>
          </w:tcPr>
          <w:p>
            <w:r>
              <w:rPr>
                <w:rFonts w:ascii="Times New Roman" w:hAnsi="Times New Roman"/>
                <w:sz w:val="20"/>
              </w:rPr>
              <w:t>22.01.2025</w:t>
            </w:r>
          </w:p>
        </w:tc>
      </w:tr>
      <w:tr>
        <w:tc>
          <w:tcPr>
            <w:tcW w:type="dxa" w:w="4536"/>
          </w:tcPr>
          <w:p>
            <w:r>
              <w:rPr>
                <w:rFonts w:ascii="Times New Roman" w:hAnsi="Times New Roman"/>
                <w:sz w:val="20"/>
              </w:rPr>
              <w:t>Laufzeit (ursprünglich)</w:t>
            </w:r>
          </w:p>
        </w:tc>
        <w:tc>
          <w:tcPr>
            <w:tcW w:type="dxa" w:w="4536"/>
          </w:tcPr>
          <w:p>
            <w:r>
              <w:rPr>
                <w:rFonts w:ascii="Times New Roman" w:hAnsi="Times New Roman"/>
                <w:sz w:val="20"/>
              </w:rPr>
              <w:t>180 Monate (15 Jahre)</w:t>
            </w:r>
          </w:p>
        </w:tc>
      </w:tr>
      <w:tr>
        <w:tc>
          <w:tcPr>
            <w:tcW w:type="dxa" w:w="4536"/>
          </w:tcPr>
          <w:p>
            <w:r>
              <w:rPr>
                <w:rFonts w:ascii="Times New Roman" w:hAnsi="Times New Roman"/>
                <w:sz w:val="20"/>
              </w:rPr>
              <w:t>Zinssatz</w:t>
            </w:r>
          </w:p>
        </w:tc>
        <w:tc>
          <w:tcPr>
            <w:tcW w:type="dxa" w:w="4536"/>
          </w:tcPr>
          <w:p>
            <w:r>
              <w:rPr>
                <w:rFonts w:ascii="Times New Roman" w:hAnsi="Times New Roman"/>
                <w:sz w:val="20"/>
              </w:rPr>
              <w:t>4,35 % p.a. (effektiv 4,44 %)</w:t>
            </w:r>
          </w:p>
        </w:tc>
      </w:tr>
      <w:tr>
        <w:tc>
          <w:tcPr>
            <w:tcW w:type="dxa" w:w="4536"/>
          </w:tcPr>
          <w:p>
            <w:r>
              <w:rPr>
                <w:rFonts w:ascii="Times New Roman" w:hAnsi="Times New Roman"/>
                <w:sz w:val="20"/>
              </w:rPr>
              <w:t>Tilgungsrate</w:t>
            </w:r>
          </w:p>
        </w:tc>
        <w:tc>
          <w:tcPr>
            <w:tcW w:type="dxa" w:w="4536"/>
          </w:tcPr>
          <w:p>
            <w:r>
              <w:rPr>
                <w:rFonts w:ascii="Times New Roman" w:hAnsi="Times New Roman"/>
                <w:sz w:val="20"/>
              </w:rPr>
              <w:t>1 % p.a.</w:t>
            </w:r>
          </w:p>
        </w:tc>
      </w:tr>
      <w:tr>
        <w:tc>
          <w:tcPr>
            <w:tcW w:type="dxa" w:w="4536"/>
          </w:tcPr>
          <w:p>
            <w:r>
              <w:rPr>
                <w:rFonts w:ascii="Times New Roman" w:hAnsi="Times New Roman"/>
                <w:sz w:val="20"/>
              </w:rPr>
              <w:t>Monatliche Rate</w:t>
            </w:r>
          </w:p>
        </w:tc>
        <w:tc>
          <w:tcPr>
            <w:tcW w:type="dxa" w:w="4536"/>
          </w:tcPr>
          <w:p>
            <w:r>
              <w:rPr>
                <w:rFonts w:ascii="Times New Roman" w:hAnsi="Times New Roman"/>
                <w:sz w:val="20"/>
              </w:rPr>
              <w:t>623,00 EUR</w:t>
            </w:r>
          </w:p>
        </w:tc>
      </w:tr>
      <w:tr>
        <w:tc>
          <w:tcPr>
            <w:tcW w:type="dxa" w:w="4536"/>
          </w:tcPr>
          <w:p>
            <w:r>
              <w:rPr>
                <w:rFonts w:ascii="Times New Roman" w:hAnsi="Times New Roman"/>
                <w:sz w:val="20"/>
              </w:rPr>
              <w:t>Darlehensende (ursprünglich)</w:t>
            </w:r>
          </w:p>
        </w:tc>
        <w:tc>
          <w:tcPr>
            <w:tcW w:type="dxa" w:w="4536"/>
          </w:tcPr>
          <w:p>
            <w:r>
              <w:rPr>
                <w:rFonts w:ascii="Times New Roman" w:hAnsi="Times New Roman"/>
                <w:sz w:val="20"/>
              </w:rPr>
              <w:t>31.01.2040</w:t>
            </w:r>
          </w:p>
        </w:tc>
      </w:tr>
      <w:tr>
        <w:tc>
          <w:tcPr>
            <w:tcW w:type="dxa" w:w="4536"/>
          </w:tcPr>
          <w:p>
            <w:r>
              <w:rPr>
                <w:rFonts w:ascii="Times New Roman" w:hAnsi="Times New Roman"/>
                <w:sz w:val="20"/>
              </w:rPr>
              <w:t>Sicherheit</w:t>
            </w:r>
          </w:p>
        </w:tc>
        <w:tc>
          <w:tcPr>
            <w:tcW w:type="dxa" w:w="4536"/>
          </w:tcPr>
          <w:p>
            <w:r>
              <w:rPr>
                <w:rFonts w:ascii="Times New Roman" w:hAnsi="Times New Roman"/>
                <w:sz w:val="20"/>
              </w:rPr>
              <w:t>Grundschuld Kiefernstraße 17, 28757 Bremen, Abt. III, Rang 1.</w:t>
            </w:r>
          </w:p>
        </w:tc>
      </w:tr>
    </w:tbl>
    <w:p/>
    <w:p>
      <w:pPr>
        <w:pStyle w:val="Heading2"/>
      </w:pPr>
      <w:r>
        <w:rPr>
          <w:rFonts w:ascii="Times New Roman" w:hAnsi="Times New Roman"/>
        </w:rPr>
        <w:t>III. Zahlungsverlauf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Monat</w:t>
            </w:r>
          </w:p>
        </w:tc>
        <w:tc>
          <w:tcPr>
            <w:tcW w:type="dxa" w:w="2268"/>
          </w:tcPr>
          <w:p>
            <w:r>
              <w:rPr>
                <w:rFonts w:ascii="Times New Roman" w:hAnsi="Times New Roman"/>
                <w:b/>
                <w:sz w:val="20"/>
              </w:rPr>
              <w:t>Rate fällig (EUR)</w:t>
            </w:r>
          </w:p>
        </w:tc>
        <w:tc>
          <w:tcPr>
            <w:tcW w:type="dxa" w:w="2268"/>
          </w:tcPr>
          <w:p>
            <w:r>
              <w:rPr>
                <w:rFonts w:ascii="Times New Roman" w:hAnsi="Times New Roman"/>
                <w:b/>
                <w:sz w:val="20"/>
              </w:rPr>
              <w:t>Gezahlt (EUR)</w:t>
            </w:r>
          </w:p>
        </w:tc>
        <w:tc>
          <w:tcPr>
            <w:tcW w:type="dxa" w:w="2268"/>
          </w:tcPr>
          <w:p>
            <w:r>
              <w:rPr>
                <w:rFonts w:ascii="Times New Roman" w:hAnsi="Times New Roman"/>
                <w:b/>
                <w:sz w:val="20"/>
              </w:rPr>
              <w:t>Rückstand (EUR)</w:t>
            </w:r>
          </w:p>
        </w:tc>
      </w:tr>
      <w:tr>
        <w:tc>
          <w:tcPr>
            <w:tcW w:type="dxa" w:w="2268"/>
          </w:tcPr>
          <w:p>
            <w:r>
              <w:rPr>
                <w:rFonts w:ascii="Times New Roman" w:hAnsi="Times New Roman"/>
                <w:sz w:val="20"/>
              </w:rPr>
              <w:t>Februar 2025</w:t>
            </w:r>
          </w:p>
        </w:tc>
        <w:tc>
          <w:tcPr>
            <w:tcW w:type="dxa" w:w="2268"/>
          </w:tcPr>
          <w:p>
            <w:r>
              <w:rPr>
                <w:rFonts w:ascii="Times New Roman" w:hAnsi="Times New Roman"/>
                <w:sz w:val="20"/>
              </w:rPr>
              <w:t>623,00</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r>
      <w:tr>
        <w:tc>
          <w:tcPr>
            <w:tcW w:type="dxa" w:w="2268"/>
          </w:tcPr>
          <w:p>
            <w:r>
              <w:rPr>
                <w:rFonts w:ascii="Times New Roman" w:hAnsi="Times New Roman"/>
                <w:sz w:val="20"/>
              </w:rPr>
              <w:t>März 2025</w:t>
            </w:r>
          </w:p>
        </w:tc>
        <w:tc>
          <w:tcPr>
            <w:tcW w:type="dxa" w:w="2268"/>
          </w:tcPr>
          <w:p>
            <w:r>
              <w:rPr>
                <w:rFonts w:ascii="Times New Roman" w:hAnsi="Times New Roman"/>
                <w:sz w:val="20"/>
              </w:rPr>
              <w:t>623,00</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r>
      <w:tr>
        <w:tc>
          <w:tcPr>
            <w:tcW w:type="dxa" w:w="2268"/>
          </w:tcPr>
          <w:p>
            <w:r>
              <w:rPr>
                <w:rFonts w:ascii="Times New Roman" w:hAnsi="Times New Roman"/>
                <w:sz w:val="20"/>
              </w:rPr>
              <w:t>April 2025</w:t>
            </w:r>
          </w:p>
        </w:tc>
        <w:tc>
          <w:tcPr>
            <w:tcW w:type="dxa" w:w="2268"/>
          </w:tcPr>
          <w:p>
            <w:r>
              <w:rPr>
                <w:rFonts w:ascii="Times New Roman" w:hAnsi="Times New Roman"/>
                <w:sz w:val="20"/>
              </w:rPr>
              <w:t>623,00</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r>
      <w:tr>
        <w:tc>
          <w:tcPr>
            <w:tcW w:type="dxa" w:w="2268"/>
          </w:tcPr>
          <w:p>
            <w:r>
              <w:rPr>
                <w:rFonts w:ascii="Times New Roman" w:hAnsi="Times New Roman"/>
                <w:sz w:val="20"/>
              </w:rPr>
              <w:t>Mai 2025</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c>
          <w:tcPr>
            <w:tcW w:type="dxa" w:w="2268"/>
          </w:tcPr>
          <w:p>
            <w:r>
              <w:rPr>
                <w:rFonts w:ascii="Times New Roman" w:hAnsi="Times New Roman"/>
                <w:sz w:val="20"/>
              </w:rPr>
              <w:t>623,00</w:t>
            </w:r>
          </w:p>
        </w:tc>
      </w:tr>
      <w:tr>
        <w:tc>
          <w:tcPr>
            <w:tcW w:type="dxa" w:w="2268"/>
          </w:tcPr>
          <w:p>
            <w:r>
              <w:rPr>
                <w:rFonts w:ascii="Times New Roman" w:hAnsi="Times New Roman"/>
                <w:sz w:val="20"/>
              </w:rPr>
              <w:t>Juni 2025</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c>
          <w:tcPr>
            <w:tcW w:type="dxa" w:w="2268"/>
          </w:tcPr>
          <w:p>
            <w:r>
              <w:rPr>
                <w:rFonts w:ascii="Times New Roman" w:hAnsi="Times New Roman"/>
                <w:sz w:val="20"/>
              </w:rPr>
              <w:t>1.246,00</w:t>
            </w:r>
          </w:p>
        </w:tc>
      </w:tr>
      <w:tr>
        <w:tc>
          <w:tcPr>
            <w:tcW w:type="dxa" w:w="2268"/>
          </w:tcPr>
          <w:p>
            <w:r>
              <w:rPr>
                <w:rFonts w:ascii="Times New Roman" w:hAnsi="Times New Roman"/>
                <w:sz w:val="20"/>
              </w:rPr>
              <w:t>Juli 2025</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c>
          <w:tcPr>
            <w:tcW w:type="dxa" w:w="2268"/>
          </w:tcPr>
          <w:p>
            <w:r>
              <w:rPr>
                <w:rFonts w:ascii="Times New Roman" w:hAnsi="Times New Roman"/>
                <w:sz w:val="20"/>
              </w:rPr>
              <w:t>1.869,00</w:t>
            </w:r>
          </w:p>
        </w:tc>
      </w:tr>
      <w:tr>
        <w:tc>
          <w:tcPr>
            <w:tcW w:type="dxa" w:w="2268"/>
          </w:tcPr>
          <w:p>
            <w:r>
              <w:rPr>
                <w:rFonts w:ascii="Times New Roman" w:hAnsi="Times New Roman"/>
                <w:sz w:val="20"/>
              </w:rPr>
              <w:t>August 2025</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c>
          <w:tcPr>
            <w:tcW w:type="dxa" w:w="2268"/>
          </w:tcPr>
          <w:p>
            <w:r>
              <w:rPr>
                <w:rFonts w:ascii="Times New Roman" w:hAnsi="Times New Roman"/>
                <w:sz w:val="20"/>
              </w:rPr>
              <w:t>2.492,00</w:t>
            </w:r>
          </w:p>
        </w:tc>
      </w:tr>
      <w:tr>
        <w:tc>
          <w:tcPr>
            <w:tcW w:type="dxa" w:w="2268"/>
          </w:tcPr>
          <w:p>
            <w:r>
              <w:rPr>
                <w:rFonts w:ascii="Times New Roman" w:hAnsi="Times New Roman"/>
                <w:sz w:val="20"/>
              </w:rPr>
              <w:t>September 2025</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c>
          <w:tcPr>
            <w:tcW w:type="dxa" w:w="2268"/>
          </w:tcPr>
          <w:p>
            <w:r>
              <w:rPr>
                <w:rFonts w:ascii="Times New Roman" w:hAnsi="Times New Roman"/>
                <w:sz w:val="20"/>
              </w:rPr>
              <w:t>3.115,00</w:t>
            </w:r>
          </w:p>
        </w:tc>
      </w:tr>
      <w:tr>
        <w:tc>
          <w:tcPr>
            <w:tcW w:type="dxa" w:w="2268"/>
          </w:tcPr>
          <w:p>
            <w:r>
              <w:rPr>
                <w:rFonts w:ascii="Times New Roman" w:hAnsi="Times New Roman"/>
                <w:sz w:val="20"/>
              </w:rPr>
              <w:t>Oktober 2025</w:t>
            </w:r>
          </w:p>
        </w:tc>
        <w:tc>
          <w:tcPr>
            <w:tcW w:type="dxa" w:w="2268"/>
          </w:tcPr>
          <w:p>
            <w:r>
              <w:rPr>
                <w:rFonts w:ascii="Times New Roman" w:hAnsi="Times New Roman"/>
                <w:sz w:val="20"/>
              </w:rPr>
              <w:t>623,00</w:t>
            </w:r>
          </w:p>
        </w:tc>
        <w:tc>
          <w:tcPr>
            <w:tcW w:type="dxa" w:w="2268"/>
          </w:tcPr>
          <w:p>
            <w:r>
              <w:rPr>
                <w:rFonts w:ascii="Times New Roman" w:hAnsi="Times New Roman"/>
                <w:sz w:val="20"/>
              </w:rPr>
              <w:t>0,00</w:t>
            </w:r>
          </w:p>
        </w:tc>
        <w:tc>
          <w:tcPr>
            <w:tcW w:type="dxa" w:w="2268"/>
          </w:tcPr>
          <w:p>
            <w:r>
              <w:rPr>
                <w:rFonts w:ascii="Times New Roman" w:hAnsi="Times New Roman"/>
                <w:sz w:val="20"/>
              </w:rPr>
              <w:t>3.738,00</w:t>
            </w:r>
          </w:p>
        </w:tc>
      </w:tr>
      <w:tr>
        <w:tc>
          <w:tcPr>
            <w:tcW w:type="dxa" w:w="2268"/>
          </w:tcPr>
          <w:p>
            <w:r>
              <w:rPr>
                <w:rFonts w:ascii="Times New Roman" w:hAnsi="Times New Roman"/>
                <w:sz w:val="20"/>
              </w:rPr>
              <w:t>Kündigung (14.11.2025)</w:t>
            </w:r>
          </w:p>
        </w:tc>
        <w:tc>
          <w:tcPr>
            <w:tcW w:type="dxa" w:w="2268"/>
          </w:tcPr>
          <w:p/>
        </w:tc>
        <w:tc>
          <w:tcPr>
            <w:tcW w:type="dxa" w:w="2268"/>
          </w:tcPr>
          <w:p/>
        </w:tc>
        <w:tc>
          <w:tcPr>
            <w:tcW w:type="dxa" w:w="2268"/>
          </w:tcPr>
          <w:p/>
        </w:tc>
      </w:tr>
    </w:tbl>
    <w:p/>
    <w:p>
      <w:pPr>
        <w:pStyle w:val="Heading2"/>
      </w:pPr>
      <w:r>
        <w:rPr>
          <w:rFonts w:ascii="Times New Roman" w:hAnsi="Times New Roman"/>
        </w:rPr>
        <w:t>IV. Rechtliche Prüfung der Kündigung nach § 490 BGB</w:t>
      </w:r>
    </w:p>
    <w:p>
      <w:pPr>
        <w:pStyle w:val="Heading3"/>
      </w:pPr>
      <w:r>
        <w:rPr>
          <w:rFonts w:ascii="Times New Roman" w:hAnsi="Times New Roman"/>
        </w:rPr>
        <w:t>§ 490 Abs. 1 BGB</w:t>
      </w:r>
    </w:p>
    <w:p>
      <w:pPr>
        <w:jc w:val="left"/>
      </w:pPr>
      <w:r>
        <w:t>§ 490 Abs. 1 BGB ermöglicht dem Darlehensgeber die außerordentliche fristlose Kündigung, wenn sich die Vermögensverhältnisse des Darlehensnehmers wesentlich verschlechtert haben und dadurch die Rückzahlung des Darlehens gefährdet ist.</w:t>
      </w:r>
    </w:p>
    <w:p>
      <w:pPr>
        <w:pStyle w:val="Heading3"/>
      </w:pPr>
      <w:r>
        <w:rPr>
          <w:rFonts w:ascii="Times New Roman" w:hAnsi="Times New Roman"/>
        </w:rPr>
        <w:t>Prüfung der Voraussetzungen</w:t>
      </w:r>
    </w:p>
    <w:p>
      <w:pPr>
        <w:jc w:val="left"/>
      </w:pPr>
      <w:r>
        <w:rPr>
          <w:b/>
        </w:rPr>
        <w:t>1. Wesentliche Verschlechterung der Vermögensverhältnisse:</w:t>
      </w:r>
    </w:p>
    <w:p>
      <w:pPr>
        <w:jc w:val="left"/>
      </w:pPr>
      <w:r>
        <w:t>Frau Wittfeldt hat durch den Cybertrading-Betrug 387.420 EUR verloren, was zweifellos eine drastische Vermögensverschlechterung darstellt. Formell ist diese Voraussetzung erfüllt.</w:t>
      </w:r>
    </w:p>
    <w:p>
      <w:pPr>
        <w:jc w:val="left"/>
      </w:pPr>
      <w:r>
        <w:rPr>
          <w:b/>
        </w:rPr>
        <w:t>2. Jedoch: Mitverursachung durch die Sparkasse selbst:</w:t>
      </w:r>
    </w:p>
    <w:p>
      <w:pPr>
        <w:jc w:val="left"/>
      </w:pPr>
      <w:r>
        <w:t xml:space="preserve">Der entscheidende Gesichtspunkt ist: Die Vermögensverschlechterung, auf die die Sparkasse die Kündigung stützt, ist zumindest mitursächlich durch </w:t>
      </w:r>
      <w:r>
        <w:rPr>
          <w:b/>
        </w:rPr>
        <w:t>eigene Pflichtverletzungen der Sparkasse</w:t>
      </w:r>
      <w:r>
        <w:t xml:space="preserve"> eingetreten:</w:t>
      </w:r>
    </w:p>
    <w:p>
      <w:pPr>
        <w:pStyle w:val="ListBullet"/>
      </w:pPr>
      <w:r>
        <w:t>Die Sparkasse hat die Auslandsüberweisungen ohne Warnhinweis ausgeführt (→ Aktenstück 08).</w:t>
      </w:r>
    </w:p>
    <w:p>
      <w:pPr>
        <w:pStyle w:val="ListBullet"/>
      </w:pPr>
      <w:r>
        <w:t>Das Darlehen (75.000 EUR) wurde ausgezahlt, obwohl im selben Konto zu diesem Zeitpunkt bereits vier Auslandsüberweisungen (227.500 EUR) verbucht waren.</w:t>
      </w:r>
    </w:p>
    <w:p>
      <w:pPr>
        <w:pStyle w:val="ListBullet"/>
      </w:pPr>
      <w:r>
        <w:t>51.000 EUR des Darlehens flossen zwei Tage nach Auszahlung ins Ausland.</w:t>
      </w:r>
    </w:p>
    <w:p>
      <w:pPr>
        <w:jc w:val="left"/>
      </w:pPr>
      <w:r>
        <w:rPr>
          <w:b/>
        </w:rPr>
        <w:t>Nach dem Grundsatz von Treu und Glauben (§ 242 BGB)</w:t>
      </w:r>
      <w:r>
        <w:t xml:space="preserve"> ist es einem Kreditinstitut verwehrt, sich auf eine Vermögensverschlechterung zu berufen, die es durch eigenes pflichtwidriges Verhalten mitverursacht oder mitbegünstigt hat. Dies entspricht dem Grundsatz „venire contra factum proprium".</w:t>
      </w:r>
    </w:p>
    <w:p>
      <w:pPr>
        <w:jc w:val="left"/>
      </w:pPr>
      <w:r>
        <w:rPr>
          <w:b/>
        </w:rPr>
        <w:t>3. Interessenabwägung:</w:t>
      </w:r>
    </w:p>
    <w:p>
      <w:pPr>
        <w:jc w:val="left"/>
      </w:pPr>
      <w:r>
        <w:t>Selbst wenn man die Kündigung formal als zulässig ansieht, wäre zu prüfen, ob die sofortige Fälligstellung der vollen Restschuld (71.380 EUR) verhältnismäßig ist. Angesichts der besonderen sozialen Schutzbedürftigkeit von Frau Wittfeldt (EM-Rentnerin, Selbstgenutztes Wohneigentum) und der Tatsache, dass sie Opfer einer Straftat wurde, ist ein Stundungsantrag zumindest prima facie begründet (§ 490 Abs. 3 BGB, § 314 Abs. 2 BGB – Abhilfemöglichkeit).</w:t>
      </w:r>
    </w:p>
    <w:p/>
    <w:p>
      <w:pPr>
        <w:pStyle w:val="Heading2"/>
      </w:pPr>
      <w:r>
        <w:rPr>
          <w:rFonts w:ascii="Times New Roman" w:hAnsi="Times New Roman"/>
        </w:rPr>
        <w:t>V. Drohende Zwangsversteigerung</w:t>
      </w:r>
    </w:p>
    <w:p>
      <w:pPr>
        <w:jc w:val="left"/>
      </w:pPr>
      <w:r>
        <w:t>Die Sparkasse hat angedroht, die Grundschuld zu verwerten (Zwangsversteigerung). Grundschuld über 75.000 EUR, eingetragen in Abt. III des Grundbuchs Vegesack, Bl. 4472, laufende Nr. 1.</w:t>
      </w:r>
    </w:p>
    <w:p>
      <w:pPr>
        <w:jc w:val="left"/>
      </w:pPr>
      <w:r>
        <w:rPr>
          <w:b/>
        </w:rPr>
        <w:t>Gegenwärtig:</w:t>
      </w:r>
      <w:r>
        <w:t xml:space="preserve"> Noch kein Zwangsversteigerungsantrag beim AG Bremen-Blumenthal eingegangen (Stand: 30.04.2026, Auskunft Grundbuchamt).</w:t>
      </w:r>
    </w:p>
    <w:p>
      <w:pPr>
        <w:jc w:val="left"/>
      </w:pPr>
      <w:r>
        <w:rPr>
          <w:b/>
        </w:rPr>
        <w:t>Empfehlung:</w:t>
      </w:r>
      <w:r>
        <w:t xml:space="preserve"> Sofortige Einreichung des Widerspruchs gegen die Kündigung (→ Aktenstück 12) und Antrag auf einstweilige Verfügung zur Unterlassung des Zwangsversteigerungsantrags, falls Sparkasse diesen stellt.</w:t>
      </w:r>
    </w:p>
    <w:p/>
    <w:p>
      <w:pPr>
        <w:pStyle w:val="Heading2"/>
      </w:pPr>
      <w:r>
        <w:rPr>
          <w:rFonts w:ascii="Times New Roman" w:hAnsi="Times New Roman"/>
        </w:rPr>
        <w:t>VI. Schufa-Meldung</w:t>
      </w:r>
    </w:p>
    <w:p>
      <w:pPr>
        <w:jc w:val="left"/>
      </w:pPr>
      <w:r>
        <w:t>Infolge der Kündigung hat die Sparkasse Bremen die Forderung (71.380 EUR) der Schufa gemeldet. Einzelheiten → Aktenstück 13.</w:t>
      </w:r>
    </w:p>
    <w:p/>
    <w:p>
      <w:pPr>
        <w:jc w:val="left"/>
      </w:pPr>
      <w:r>
        <w:rPr>
          <w:i/>
        </w:rPr>
        <w:t>Erstellt: 18.04.2026 · Dr. S. Pflüger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