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gegen Kreditkündigung nach § 490 BGB</w:t>
      </w:r>
    </w:p>
    <w:p>
      <w:pPr>
        <w:jc w:val="left"/>
      </w:pPr>
      <w:r>
        <w:rPr>
          <w:b/>
        </w:rPr>
        <w:t>Kanzlei Pflüger Schoeneberg Bankrecht</w:t>
      </w:r>
    </w:p>
    <w:p>
      <w:pPr>
        <w:jc w:val="left"/>
      </w:pPr>
      <w:r>
        <w:t>Am Markt 14 · 28195 Bremen</w:t>
      </w:r>
    </w:p>
    <w:p>
      <w:pPr>
        <w:jc w:val="left"/>
      </w:pPr>
      <w:r>
        <w:rPr>
          <w:b/>
        </w:rPr>
        <w:t>Datum:</w:t>
      </w:r>
      <w:r>
        <w:t xml:space="preserve"> 17.04.2026</w:t>
      </w:r>
    </w:p>
    <w:p>
      <w:pPr>
        <w:jc w:val="left"/>
      </w:pPr>
      <w:r>
        <w:rPr>
          <w:b/>
        </w:rPr>
        <w:t>Unser Zeichen:</w:t>
      </w:r>
      <w:r>
        <w:t xml:space="preserve"> PS-BKR-2026-0412/12</w:t>
      </w:r>
    </w:p>
    <w:p>
      <w:pPr>
        <w:jc w:val="left"/>
      </w:pPr>
      <w:r>
        <w:rPr>
          <w:b/>
        </w:rPr>
        <w:t>An:</w:t>
      </w:r>
    </w:p>
    <w:p>
      <w:pPr>
        <w:jc w:val="left"/>
      </w:pPr>
      <w:r>
        <w:t>Sparkasse Bremen</w:t>
      </w:r>
    </w:p>
    <w:p>
      <w:pPr>
        <w:jc w:val="left"/>
      </w:pPr>
      <w:r>
        <w:t>Kreditabteilung</w:t>
      </w:r>
    </w:p>
    <w:p>
      <w:pPr>
        <w:jc w:val="left"/>
      </w:pPr>
      <w:r>
        <w:t>Am Brill 1–3</w:t>
      </w:r>
    </w:p>
    <w:p>
      <w:pPr>
        <w:jc w:val="left"/>
      </w:pPr>
      <w:r>
        <w:t>28195 Bremen</w:t>
      </w:r>
    </w:p>
    <w:p>
      <w:pPr>
        <w:jc w:val="left"/>
      </w:pPr>
      <w:r>
        <w:t>per Einschreiben mit Rückschein; Fax: 0421 / 179 22 22</w:t>
      </w:r>
    </w:p>
    <w:p/>
    <w:p>
      <w:pPr>
        <w:pStyle w:val="Heading2"/>
      </w:pPr>
      <w:r>
        <w:rPr>
          <w:rFonts w:ascii="Times New Roman" w:hAnsi="Times New Roman"/>
        </w:rPr>
        <w:t>Widerspruch gegen die Kündigung des Darlehensvertrags Nr. 24-01-0872/75 vom 14.11.2025</w:t>
      </w:r>
    </w:p>
    <w:p>
      <w:pPr>
        <w:jc w:val="left"/>
      </w:pPr>
      <w:r>
        <w:t>Sehr geehrte Damen und Herren,</w:t>
      </w:r>
    </w:p>
    <w:p>
      <w:pPr>
        <w:jc w:val="left"/>
      </w:pPr>
      <w:r>
        <w:t xml:space="preserve">wir vertreten Frau </w:t>
      </w:r>
      <w:r>
        <w:rPr>
          <w:b/>
        </w:rPr>
        <w:t>Eva-Maria Wittfeldt</w:t>
      </w:r>
      <w:r>
        <w:t xml:space="preserve">, geb. 14.03.1962, Kiefernstraße 17, 28757 Bremen (→ Vollmacht beigefügt). Im Namen unserer Mandantin legen wir hiermit </w:t>
      </w:r>
      <w:r>
        <w:rPr>
          <w:b/>
        </w:rPr>
        <w:t>Widerspruch</w:t>
      </w:r>
      <w:r>
        <w:t xml:space="preserve"> gegen die Kündigung des Darlehensvertrags Nr. 24-01-0872/75 (Hypothekendarlehen 75.000 EUR) mit Datum 14.11.2025 ein.</w:t>
      </w:r>
    </w:p>
    <w:p/>
    <w:p>
      <w:pPr>
        <w:pStyle w:val="Heading2"/>
      </w:pPr>
      <w:r>
        <w:rPr>
          <w:rFonts w:ascii="Times New Roman" w:hAnsi="Times New Roman"/>
        </w:rPr>
        <w:t>I. Widerspruchsbegründung</w:t>
      </w:r>
    </w:p>
    <w:p>
      <w:pPr>
        <w:pStyle w:val="Heading3"/>
      </w:pPr>
      <w:r>
        <w:rPr>
          <w:rFonts w:ascii="Times New Roman" w:hAnsi="Times New Roman"/>
        </w:rPr>
        <w:t>1. Unwirksamkeit der Kündigung nach § 490 Abs. 1 BGB</w:t>
      </w:r>
    </w:p>
    <w:p>
      <w:pPr>
        <w:jc w:val="left"/>
      </w:pPr>
      <w:r>
        <w:t xml:space="preserve">Die außerordentliche Kündigung nach § 490 Abs. 1 BGB setzt voraus, dass sich die Vermögensverhältnisse des Darlehensnehmers </w:t>
      </w:r>
      <w:r>
        <w:rPr>
          <w:b/>
        </w:rPr>
        <w:t>wesentlich</w:t>
      </w:r>
      <w:r>
        <w:t xml:space="preserve"> verschlechtert haben und dadurch die Rückzahlung des Darlehens gefährdet ist.</w:t>
      </w:r>
    </w:p>
    <w:p>
      <w:pPr>
        <w:jc w:val="left"/>
      </w:pPr>
      <w:r>
        <w:t>Zwar ist der Verlust von 387.420 EUR durch den Cybertrading-Betrug objektiv eine erhebliche Vermögensverschlechterung. Die Kündigung ist jedoch aus folgenden Gründen unwirksam:</w:t>
      </w:r>
    </w:p>
    <w:p>
      <w:pPr>
        <w:pStyle w:val="Heading3"/>
      </w:pPr>
      <w:r>
        <w:rPr>
          <w:rFonts w:ascii="Times New Roman" w:hAnsi="Times New Roman"/>
        </w:rPr>
        <w:t>2. Treuwidrigkeit gemäß § 242 BGB – „Venire contra factum proprium"</w:t>
      </w:r>
    </w:p>
    <w:p>
      <w:pPr>
        <w:jc w:val="left"/>
      </w:pPr>
      <w:r>
        <w:t xml:space="preserve">Die Sparkasse Bremen hat die vorliegende Vermögensverschlechterung unserer Mandantin </w:t>
      </w:r>
      <w:r>
        <w:rPr>
          <w:b/>
        </w:rPr>
        <w:t>selbst mitverursacht</w:t>
      </w:r>
      <w:r>
        <w:t>:</w:t>
      </w:r>
    </w:p>
    <w:p>
      <w:pPr>
        <w:jc w:val="left"/>
      </w:pPr>
      <w:r>
        <w:rPr>
          <w:b/>
        </w:rPr>
        <w:t>a)</w:t>
      </w:r>
      <w:r>
        <w:t xml:space="preserve"> Im Zeitraum September 2024 bis März 2025 führte die Sparkasse sieben Auslandsüberweisungen in einer Gesamthöhe von 387.420 EUR auf Konten in Hongkong, Estland und Zypern durch. Die Überweisungen wiesen alle Merkmale eines Cybertrading-Betruges auf (ungewöhnliche Empfängerländer, hohe Beträge, branchenfremde Verwendungszwecke, Empfänger-IBAN-Rotation), die bei einer ordnungsgemäßen Transaktionsüberwachung nach § 25h KWG / § 43 GwG hätten erkannt werden müssen. Die Sparkasse unterließ eine Warnmeldung an unsere Mandantin.</w:t>
      </w:r>
    </w:p>
    <w:p>
      <w:pPr>
        <w:jc w:val="left"/>
      </w:pPr>
      <w:r>
        <w:rPr>
          <w:b/>
        </w:rPr>
        <w:t>b)</w:t>
      </w:r>
      <w:r>
        <w:t xml:space="preserve"> Im Januar 2025 gewährte die Sparkasse selbst das Hypothekendarlehen über 75.000 EUR, obwohl zu diesem Zeitpunkt bereits vier Auslandsüberweisungen in Höhe von 227.500 EUR auf dem Konto verbucht waren. Zwei Tage nach Darlehensauszahlung flossen 51.000 EUR aus dem Darlehenserlös direkt ins Ausland (Überweisung Nr. 5). Die Sparkasse hätte bei Kenntnis dieses Kontexts das Darlehen nicht gewähren dürfen.</w:t>
      </w:r>
    </w:p>
    <w:p>
      <w:pPr>
        <w:jc w:val="left"/>
      </w:pPr>
      <w:r>
        <w:rPr>
          <w:b/>
        </w:rPr>
        <w:t>Rechtliche Folge:</w:t>
      </w:r>
      <w:r>
        <w:t xml:space="preserve"> Es ist einem Gläubiger nach § 242 BGB verwehrt, Rechte aus einem Umstand herzuleiten, den er selbst pflichtwidrig mitverursacht hat. Die Sparkasse kann sich nicht auf eine Vermögensverschlechterung berufen, an deren Entstehung sie durch eigenes Fehlverhalten maßgeblich mitgewirkt hat (so auch BGH NJW 2019, 2291 zur treuwidrigen Kündigung).</w:t>
      </w:r>
    </w:p>
    <w:p>
      <w:pPr>
        <w:pStyle w:val="Heading3"/>
      </w:pPr>
      <w:r>
        <w:rPr>
          <w:rFonts w:ascii="Times New Roman" w:hAnsi="Times New Roman"/>
        </w:rPr>
        <w:t>3. Vorrang des Stundungsanspruchs (§ 490 Abs. 3 BGB i.V.m. § 314 Abs. 2 BGB)</w:t>
      </w:r>
    </w:p>
    <w:p>
      <w:pPr>
        <w:jc w:val="left"/>
      </w:pPr>
      <w:r>
        <w:t>Selbst wenn man die Kündigungsvoraussetzungen als grundsätzlich erfüllt ansieht, hätte die Sparkasse vor der fristlosen Kündigung:</w:t>
      </w:r>
    </w:p>
    <w:p>
      <w:pPr>
        <w:pStyle w:val="ListBullet"/>
      </w:pPr>
      <w:r>
        <w:t xml:space="preserve">unserer Mandantin eine </w:t>
      </w:r>
      <w:r>
        <w:rPr>
          <w:b/>
        </w:rPr>
        <w:t>angemessene Nachfrist zur Zahlung</w:t>
      </w:r>
      <w:r>
        <w:t xml:space="preserve"> setzen und</w:t>
      </w:r>
    </w:p>
    <w:p>
      <w:pPr>
        <w:pStyle w:val="ListBullet"/>
      </w:pPr>
      <w:r>
        <w:t xml:space="preserve">zumindest die Möglichkeit einer </w:t>
      </w:r>
      <w:r>
        <w:rPr>
          <w:b/>
        </w:rPr>
        <w:t>Stundungsvereinbarung</w:t>
      </w:r>
      <w:r>
        <w:t xml:space="preserve"> erörtern müssen.</w:t>
      </w:r>
    </w:p>
    <w:p>
      <w:pPr>
        <w:jc w:val="left"/>
      </w:pPr>
      <w:r>
        <w:t>Frau Wittfeldt ist Opfer einer Straftat und befindet sich in einer psychisch und finanziell extremen Ausnahmesituation. Eine sofortige Kündigung ohne Stundungsangebot ist unter diesen Umständen unverhältnismäßig und unwirksam.</w:t>
      </w:r>
    </w:p>
    <w:p>
      <w:pPr>
        <w:pStyle w:val="Heading3"/>
      </w:pPr>
      <w:r>
        <w:rPr>
          <w:rFonts w:ascii="Times New Roman" w:hAnsi="Times New Roman"/>
        </w:rPr>
        <w:t>4. Schutzwürdigkeit des Wohnraums (Art. 14 GG)</w:t>
      </w:r>
    </w:p>
    <w:p>
      <w:pPr>
        <w:jc w:val="left"/>
      </w:pPr>
      <w:r>
        <w:t>Die Eigentumswohnung Kiefernstraße 17, 28757 Bremen, ist das einzige Wohneigentum und der Hauptwohnsitz von Frau Wittfeldt (64 Jahre, körperliche Einschränkungen). Eine Zwangsversteigerung dieser Immobilie würde die Mandantin in die Obdachlosigkeit treiben. Das verfassungsrechtlich garantierte Eigentumsrecht (Art. 14 Abs. 1 GG) gebietet in dieser Situation eine besonders sorgfältige Interessenabwägung durch das Kreditinstitut.</w:t>
      </w:r>
    </w:p>
    <w:p/>
    <w:p>
      <w:pPr>
        <w:pStyle w:val="Heading2"/>
      </w:pPr>
      <w:r>
        <w:rPr>
          <w:rFonts w:ascii="Times New Roman" w:hAnsi="Times New Roman"/>
        </w:rPr>
        <w:t>II. Antrag auf Aussetzung der Vollziehung / Stundung</w:t>
      </w:r>
    </w:p>
    <w:p>
      <w:pPr>
        <w:jc w:val="left"/>
      </w:pPr>
      <w:r>
        <w:t>Wir beantragen ausdrücklich:</w:t>
      </w:r>
    </w:p>
    <w:p>
      <w:pPr>
        <w:pStyle w:val="ListNumber"/>
      </w:pPr>
      <w:r>
        <w:t xml:space="preserve">Die </w:t>
      </w:r>
      <w:r>
        <w:rPr>
          <w:b/>
        </w:rPr>
        <w:t>Rücknahme der Kündigung</w:t>
      </w:r>
      <w:r>
        <w:t xml:space="preserve"> oder, hilfsweise,</w:t>
      </w:r>
    </w:p>
    <w:p>
      <w:pPr>
        <w:pStyle w:val="ListNumber"/>
      </w:pPr>
      <w:r>
        <w:t xml:space="preserve">die </w:t>
      </w:r>
      <w:r>
        <w:rPr>
          <w:b/>
        </w:rPr>
        <w:t>Aussetzung der Fälligstellung</w:t>
      </w:r>
      <w:r>
        <w:t xml:space="preserve"> der Gesamtrestschuld (71.380 EUR) bis zur abschließenden gerichtlichen Klärung der wechselseitigen Ansprüche,</w:t>
      </w:r>
    </w:p>
    <w:p>
      <w:pPr>
        <w:pStyle w:val="ListNumber"/>
      </w:pPr>
      <w:r>
        <w:t xml:space="preserve">die </w:t>
      </w:r>
      <w:r>
        <w:rPr>
          <w:b/>
        </w:rPr>
        <w:t>sofortige Stornierung der Schufa-Meldung</w:t>
      </w:r>
      <w:r>
        <w:t>,</w:t>
      </w:r>
    </w:p>
    <w:p>
      <w:pPr>
        <w:pStyle w:val="ListNumber"/>
      </w:pPr>
      <w:r>
        <w:t xml:space="preserve">den </w:t>
      </w:r>
      <w:r>
        <w:rPr>
          <w:b/>
        </w:rPr>
        <w:t>Verzicht auf einen Zwangsversteigerungsantrag</w:t>
      </w:r>
      <w:r>
        <w:t xml:space="preserve"> bis zur gerichtlichen Klärung.</w:t>
      </w:r>
    </w:p>
    <w:p/>
    <w:p>
      <w:pPr>
        <w:pStyle w:val="Heading2"/>
      </w:pPr>
      <w:r>
        <w:rPr>
          <w:rFonts w:ascii="Times New Roman" w:hAnsi="Times New Roman"/>
        </w:rPr>
        <w:t>III. Fristsetzung</w:t>
      </w:r>
    </w:p>
    <w:p>
      <w:pPr>
        <w:jc w:val="left"/>
      </w:pPr>
      <w:r>
        <w:t xml:space="preserve">Wir setzen Ihnen eine Frist bis zum </w:t>
      </w:r>
      <w:r>
        <w:rPr>
          <w:b/>
        </w:rPr>
        <w:t>05. Mai 2026</w:t>
      </w:r>
      <w:r>
        <w:t xml:space="preserve"> (Eingang bei uns), um zu den vorstehenden Punkten Stellung zu nehmen und die Kündigung zurückzunehmen.</w:t>
      </w:r>
    </w:p>
    <w:p>
      <w:pPr>
        <w:jc w:val="left"/>
      </w:pPr>
      <w:r>
        <w:rPr>
          <w:b/>
        </w:rPr>
        <w:t>Nach fruchtlosem Ablauf der Frist</w:t>
      </w:r>
      <w:r>
        <w:t xml:space="preserve"> werden wir beim Landgericht Bremen (Az. 4 O 215/26) </w:t>
      </w:r>
      <w:r>
        <w:rPr>
          <w:b/>
        </w:rPr>
        <w:t>Klage auf Feststellung der Unwirksamkeit der Kündigung</w:t>
      </w:r>
      <w:r>
        <w:t xml:space="preserve"> sowie auf </w:t>
      </w:r>
      <w:r>
        <w:rPr>
          <w:b/>
        </w:rPr>
        <w:t>Schadensersatz</w:t>
      </w:r>
      <w:r>
        <w:t xml:space="preserve"> erheben und zugleich beim Amtsgericht Bremen-Blumenthal (Az. 15 C 124/26) die </w:t>
      </w:r>
      <w:r>
        <w:rPr>
          <w:b/>
        </w:rPr>
        <w:t>Löschung des Schufa-Eintrags</w:t>
      </w:r>
      <w:r>
        <w:t xml:space="preserve"> beantragen.</w:t>
      </w:r>
    </w:p>
    <w:p/>
    <w:p>
      <w:pPr>
        <w:jc w:val="left"/>
      </w:pPr>
      <w:r>
        <w:t>Rechtsanwalt Dr. Severin Pflüger</w:t>
      </w:r>
    </w:p>
    <w:p>
      <w:pPr>
        <w:jc w:val="left"/>
      </w:pPr>
      <w:r>
        <w:t>Fachanwalt für Bank- und Kapitalmarktrecht</w:t>
      </w:r>
    </w:p>
    <w:p>
      <w:pPr>
        <w:jc w:val="left"/>
      </w:pPr>
      <w:r>
        <w:rPr>
          <w:i/>
        </w:rPr>
        <w:t>Anlagen:</w:t>
      </w:r>
    </w:p>
    <w:p>
      <w:pPr>
        <w:pStyle w:val="ListBullet"/>
      </w:pPr>
      <w:r>
        <w:t>Vollmacht Eva-Maria Wittfeldt</w:t>
      </w:r>
    </w:p>
    <w:p>
      <w:pPr>
        <w:pStyle w:val="ListBullet"/>
      </w:pPr>
      <w:r>
        <w:t>Kündigung Sparkasse v. 14.11.2025 (Kopie)</w:t>
      </w:r>
    </w:p>
    <w:p>
      <w:pPr>
        <w:pStyle w:val="ListBullet"/>
      </w:pPr>
      <w:r>
        <w:t>Auszug Kanzleinotiz Erstgespräch (Aktenstück 03)</w:t>
      </w:r>
    </w:p>
    <w:p>
      <w:pPr>
        <w:pStyle w:val="ListBullet"/>
      </w:pPr>
      <w:r>
        <w:t>Aufstellung Überweisungen (Aktenstück 04)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