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Schufa-Eintrag und Löschungsbegehren</w:t>
      </w:r>
    </w:p>
    <w:p>
      <w:pPr>
        <w:jc w:val="left"/>
      </w:pPr>
      <w:r>
        <w:rPr>
          <w:b/>
        </w:rPr>
        <w:t>Aktenzeichen:</w:t>
      </w:r>
      <w:r>
        <w:t xml:space="preserve"> PS-BKR-2026-0412</w:t>
      </w:r>
    </w:p>
    <w:p>
      <w:pPr>
        <w:jc w:val="left"/>
      </w:pPr>
      <w:r>
        <w:rPr>
          <w:b/>
        </w:rPr>
        <w:t>Datum:</w:t>
      </w:r>
      <w:r>
        <w:t xml:space="preserve"> 21.04.2026</w:t>
      </w:r>
    </w:p>
    <w:p/>
    <w:p>
      <w:pPr>
        <w:pStyle w:val="Heading2"/>
      </w:pPr>
      <w:r>
        <w:rPr>
          <w:rFonts w:ascii="Times New Roman" w:hAnsi="Times New Roman"/>
        </w:rPr>
        <w:t>I. Der Schufa-Eintrag</w:t>
      </w:r>
    </w:p>
    <w:p>
      <w:pPr>
        <w:pStyle w:val="Heading3"/>
      </w:pPr>
      <w:r>
        <w:rPr>
          <w:rFonts w:ascii="Times New Roman" w:hAnsi="Times New Roman"/>
        </w:rPr>
        <w:t>Schufa-Auskunft Eva-Maria Wittfeldt (Stand: Januar 2026)</w:t>
      </w:r>
    </w:p>
    <w:p>
      <w:pPr>
        <w:jc w:val="left"/>
      </w:pPr>
      <w:r>
        <w:t>Die Mandantin hat im Januar 2026 eine Selbstauskunft bei der Schufa Holding AG eingeholt. Der Eintrag lautet sinngemäß (Redaktion: nur datenschutzrechtlich zulässige Übermittlung an Kanzlei):</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Inhalt</w:t>
            </w:r>
          </w:p>
        </w:tc>
      </w:tr>
      <w:tr>
        <w:tc>
          <w:tcPr>
            <w:tcW w:type="dxa" w:w="4536"/>
          </w:tcPr>
          <w:p>
            <w:r>
              <w:rPr>
                <w:rFonts w:ascii="Times New Roman" w:hAnsi="Times New Roman"/>
                <w:sz w:val="20"/>
              </w:rPr>
              <w:t>Gläubiger</w:t>
            </w:r>
          </w:p>
        </w:tc>
        <w:tc>
          <w:tcPr>
            <w:tcW w:type="dxa" w:w="4536"/>
          </w:tcPr>
          <w:p>
            <w:r>
              <w:rPr>
                <w:rFonts w:ascii="Times New Roman" w:hAnsi="Times New Roman"/>
                <w:sz w:val="20"/>
              </w:rPr>
              <w:t>Sparkasse Bremen</w:t>
            </w:r>
          </w:p>
        </w:tc>
      </w:tr>
      <w:tr>
        <w:tc>
          <w:tcPr>
            <w:tcW w:type="dxa" w:w="4536"/>
          </w:tcPr>
          <w:p>
            <w:r>
              <w:rPr>
                <w:rFonts w:ascii="Times New Roman" w:hAnsi="Times New Roman"/>
                <w:sz w:val="20"/>
              </w:rPr>
              <w:t>Forderungsart</w:t>
            </w:r>
          </w:p>
        </w:tc>
        <w:tc>
          <w:tcPr>
            <w:tcW w:type="dxa" w:w="4536"/>
          </w:tcPr>
          <w:p>
            <w:r>
              <w:rPr>
                <w:rFonts w:ascii="Times New Roman" w:hAnsi="Times New Roman"/>
                <w:sz w:val="20"/>
              </w:rPr>
              <w:t>Kreditforderung nach Kündigung</w:t>
            </w:r>
          </w:p>
        </w:tc>
      </w:tr>
      <w:tr>
        <w:tc>
          <w:tcPr>
            <w:tcW w:type="dxa" w:w="4536"/>
          </w:tcPr>
          <w:p>
            <w:r>
              <w:rPr>
                <w:rFonts w:ascii="Times New Roman" w:hAnsi="Times New Roman"/>
                <w:sz w:val="20"/>
              </w:rPr>
              <w:t>Betrag</w:t>
            </w:r>
          </w:p>
        </w:tc>
        <w:tc>
          <w:tcPr>
            <w:tcW w:type="dxa" w:w="4536"/>
          </w:tcPr>
          <w:p>
            <w:r>
              <w:rPr>
                <w:rFonts w:ascii="Times New Roman" w:hAnsi="Times New Roman"/>
                <w:sz w:val="20"/>
              </w:rPr>
              <w:t>71.380,00 EUR</w:t>
            </w:r>
          </w:p>
        </w:tc>
      </w:tr>
      <w:tr>
        <w:tc>
          <w:tcPr>
            <w:tcW w:type="dxa" w:w="4536"/>
          </w:tcPr>
          <w:p>
            <w:r>
              <w:rPr>
                <w:rFonts w:ascii="Times New Roman" w:hAnsi="Times New Roman"/>
                <w:sz w:val="20"/>
              </w:rPr>
              <w:t>Meldedatum</w:t>
            </w:r>
          </w:p>
        </w:tc>
        <w:tc>
          <w:tcPr>
            <w:tcW w:type="dxa" w:w="4536"/>
          </w:tcPr>
          <w:p>
            <w:r>
              <w:rPr>
                <w:rFonts w:ascii="Times New Roman" w:hAnsi="Times New Roman"/>
                <w:sz w:val="20"/>
              </w:rPr>
              <w:t>Dezember 2025</w:t>
            </w:r>
          </w:p>
        </w:tc>
      </w:tr>
      <w:tr>
        <w:tc>
          <w:tcPr>
            <w:tcW w:type="dxa" w:w="4536"/>
          </w:tcPr>
          <w:p>
            <w:r>
              <w:rPr>
                <w:rFonts w:ascii="Times New Roman" w:hAnsi="Times New Roman"/>
                <w:sz w:val="20"/>
              </w:rPr>
              <w:t>Status</w:t>
            </w:r>
          </w:p>
        </w:tc>
        <w:tc>
          <w:tcPr>
            <w:tcW w:type="dxa" w:w="4536"/>
          </w:tcPr>
          <w:p>
            <w:r>
              <w:rPr>
                <w:rFonts w:ascii="Times New Roman" w:hAnsi="Times New Roman"/>
                <w:sz w:val="20"/>
              </w:rPr>
              <w:t>Offen / nicht beglichen</w:t>
            </w:r>
          </w:p>
        </w:tc>
      </w:tr>
      <w:tr>
        <w:tc>
          <w:tcPr>
            <w:tcW w:type="dxa" w:w="4536"/>
          </w:tcPr>
          <w:p>
            <w:r>
              <w:rPr>
                <w:rFonts w:ascii="Times New Roman" w:hAnsi="Times New Roman"/>
                <w:sz w:val="20"/>
              </w:rPr>
              <w:t>Schufa-Score (Klasse)</w:t>
            </w:r>
          </w:p>
        </w:tc>
        <w:tc>
          <w:tcPr>
            <w:tcW w:type="dxa" w:w="4536"/>
          </w:tcPr>
          <w:p>
            <w:r>
              <w:rPr>
                <w:rFonts w:ascii="Times New Roman" w:hAnsi="Times New Roman"/>
                <w:sz w:val="20"/>
              </w:rPr>
              <w:t>H (sehr hohes Ausfallrisiko)</w:t>
            </w:r>
          </w:p>
        </w:tc>
      </w:tr>
      <w:tr>
        <w:tc>
          <w:tcPr>
            <w:tcW w:type="dxa" w:w="4536"/>
          </w:tcPr>
          <w:p>
            <w:r>
              <w:rPr>
                <w:rFonts w:ascii="Times New Roman" w:hAnsi="Times New Roman"/>
                <w:sz w:val="20"/>
              </w:rPr>
              <w:t>Vorheriger Score</w:t>
            </w:r>
          </w:p>
        </w:tc>
        <w:tc>
          <w:tcPr>
            <w:tcW w:type="dxa" w:w="4536"/>
          </w:tcPr>
          <w:p>
            <w:r>
              <w:rPr>
                <w:rFonts w:ascii="Times New Roman" w:hAnsi="Times New Roman"/>
                <w:sz w:val="20"/>
              </w:rPr>
              <w:t>D (unterdurchschnittliches Risiko)</w:t>
            </w:r>
          </w:p>
        </w:tc>
      </w:tr>
    </w:tbl>
    <w:p>
      <w:pPr>
        <w:jc w:val="left"/>
      </w:pPr>
      <w:r>
        <w:t>Der Eintrag hat die Kreditwürdigkeit von Frau Wittfeldt massiv verschlechtert. Sie kann derzeit keine neuen Finanzdienstleistungen in Anspruch nehmen und wurde bei einem Mietgesuch bereits abgelehnt.</w:t>
      </w:r>
    </w:p>
    <w:p/>
    <w:p>
      <w:pPr>
        <w:pStyle w:val="Heading2"/>
      </w:pPr>
      <w:r>
        <w:rPr>
          <w:rFonts w:ascii="Times New Roman" w:hAnsi="Times New Roman"/>
        </w:rPr>
        <w:t>II. Löschungsbegehren an Schufa Holding AG</w:t>
      </w:r>
    </w:p>
    <w:p>
      <w:pPr>
        <w:jc w:val="left"/>
      </w:pPr>
      <w:r>
        <w:rPr>
          <w:b/>
        </w:rPr>
        <w:t>Kanzlei Pflüger Schoeneberg Bankrecht</w:t>
      </w:r>
    </w:p>
    <w:p>
      <w:pPr>
        <w:jc w:val="left"/>
      </w:pPr>
      <w:r>
        <w:t>Am Markt 14 · 28195 Bremen</w:t>
      </w:r>
    </w:p>
    <w:p>
      <w:pPr>
        <w:jc w:val="left"/>
      </w:pPr>
      <w:r>
        <w:rPr>
          <w:b/>
        </w:rPr>
        <w:t>An:</w:t>
      </w:r>
    </w:p>
    <w:p>
      <w:pPr>
        <w:jc w:val="left"/>
      </w:pPr>
      <w:r>
        <w:t>Schufa Holding AG</w:t>
      </w:r>
    </w:p>
    <w:p>
      <w:pPr>
        <w:jc w:val="left"/>
      </w:pPr>
      <w:r>
        <w:t>Ombudsmann / Datenschutz</w:t>
      </w:r>
    </w:p>
    <w:p>
      <w:pPr>
        <w:jc w:val="left"/>
      </w:pPr>
      <w:r>
        <w:t>Kormoranweg 5</w:t>
      </w:r>
    </w:p>
    <w:p>
      <w:pPr>
        <w:jc w:val="left"/>
      </w:pPr>
      <w:r>
        <w:t>65201 Wiesbaden</w:t>
      </w:r>
    </w:p>
    <w:p>
      <w:pPr>
        <w:jc w:val="left"/>
      </w:pPr>
      <w:r>
        <w:t>per Einschreiben; Fax: 0611 / 9278-109</w:t>
      </w:r>
    </w:p>
    <w:p>
      <w:pPr>
        <w:jc w:val="left"/>
      </w:pPr>
      <w:r>
        <w:rPr>
          <w:b/>
        </w:rPr>
        <w:t>Datum:</w:t>
      </w:r>
      <w:r>
        <w:t xml:space="preserve"> 21.04.2026</w:t>
      </w:r>
    </w:p>
    <w:p>
      <w:pPr>
        <w:jc w:val="left"/>
      </w:pPr>
      <w:r>
        <w:rPr>
          <w:b/>
        </w:rPr>
        <w:t>Betreff:</w:t>
      </w:r>
      <w:r>
        <w:t xml:space="preserve"> Löschungsbegehren nach Art. 17 DSGVO / § 35 BDSG – Eintrag Sparkasse Bremen, 71.380 EUR</w:t>
      </w:r>
    </w:p>
    <w:p>
      <w:pPr>
        <w:jc w:val="left"/>
      </w:pPr>
      <w:r>
        <w:t>Sehr geehrte Damen und Herren,</w:t>
      </w:r>
    </w:p>
    <w:p>
      <w:pPr>
        <w:jc w:val="left"/>
      </w:pPr>
      <w:r>
        <w:t xml:space="preserve">wir vertreten Frau </w:t>
      </w:r>
      <w:r>
        <w:rPr>
          <w:b/>
        </w:rPr>
        <w:t>Eva-Maria Wittfeldt</w:t>
      </w:r>
      <w:r>
        <w:t xml:space="preserve"> (→ Vollmacht liegt bei). Wir begehren die </w:t>
      </w:r>
      <w:r>
        <w:rPr>
          <w:b/>
        </w:rPr>
        <w:t>unverzügliche Löschung</w:t>
      </w:r>
      <w:r>
        <w:t xml:space="preserve"> des oben genannten Schufa-Eintrags aus folgenden Gründen:</w:t>
      </w:r>
    </w:p>
    <w:p>
      <w:pPr>
        <w:pStyle w:val="Heading3"/>
      </w:pPr>
      <w:r>
        <w:rPr>
          <w:rFonts w:ascii="Times New Roman" w:hAnsi="Times New Roman"/>
        </w:rPr>
        <w:t>1. Streitigkeit der zugrundeliegenden Forderung</w:t>
      </w:r>
    </w:p>
    <w:p>
      <w:pPr>
        <w:jc w:val="left"/>
      </w:pPr>
      <w:r>
        <w:t xml:space="preserve">Der Schufa-Eintrag basiert auf einer Forderung der Sparkasse Bremen (71.380 EUR), die aus einer Kreditkündigung nach § 490 BGB vom 14.11.2025 resultiert. Diese Kündigung ist </w:t>
      </w:r>
      <w:r>
        <w:rPr>
          <w:b/>
        </w:rPr>
        <w:t>streitig</w:t>
      </w:r>
      <w:r>
        <w:t xml:space="preserve"> – wir haben mit Schreiben vom 17.04.2026 förmlichen Widerspruch eingelegt (Kopie liegt bei). Das Landgericht Bremen hat das Verfahren unter dem Az. 4 O 215/26 registriert.</w:t>
      </w:r>
    </w:p>
    <w:p>
      <w:pPr>
        <w:jc w:val="left"/>
      </w:pPr>
      <w:r>
        <w:t xml:space="preserve">Nach ständiger Rechtsprechung des BGH (VI ZR 156/13; VI ZR 495/16) darf eine Negativmeldung an die Schufa nur dann aufrechterhalten werden, wenn die Forderung </w:t>
      </w:r>
      <w:r>
        <w:rPr>
          <w:b/>
        </w:rPr>
        <w:t>unbestritten</w:t>
      </w:r>
      <w:r>
        <w:t xml:space="preserve">, </w:t>
      </w:r>
      <w:r>
        <w:rPr>
          <w:b/>
        </w:rPr>
        <w:t>tituliert</w:t>
      </w:r>
      <w:r>
        <w:t xml:space="preserve"> oder </w:t>
      </w:r>
      <w:r>
        <w:rPr>
          <w:b/>
        </w:rPr>
        <w:t>nach Prüfung berechtigt</w:t>
      </w:r>
      <w:r>
        <w:t xml:space="preserve"> ist. Keine dieser Voraussetzungen ist im vorliegenden Fall erfüllt:</w:t>
      </w:r>
    </w:p>
    <w:p>
      <w:pPr>
        <w:pStyle w:val="ListBullet"/>
      </w:pPr>
      <w:r>
        <w:t>Die Forderung ist ausdrücklich bestritten.</w:t>
      </w:r>
    </w:p>
    <w:p>
      <w:pPr>
        <w:pStyle w:val="ListBullet"/>
      </w:pPr>
      <w:r>
        <w:t>Es liegt kein Titel (Vollstreckungsbescheid, Urteil) vor.</w:t>
      </w:r>
    </w:p>
    <w:p>
      <w:pPr>
        <w:pStyle w:val="ListBullet"/>
      </w:pPr>
      <w:r>
        <w:t>Die Berechtigung der Kündigung ist Gegenstand des laufenden Rechtsstreits.</w:t>
      </w:r>
    </w:p>
    <w:p>
      <w:pPr>
        <w:pStyle w:val="Heading3"/>
      </w:pPr>
      <w:r>
        <w:rPr>
          <w:rFonts w:ascii="Times New Roman" w:hAnsi="Times New Roman"/>
        </w:rPr>
        <w:t>2. Verstoß gegen DSGVO (Art. 5, 6, 17)</w:t>
      </w:r>
    </w:p>
    <w:p>
      <w:pPr>
        <w:jc w:val="left"/>
      </w:pPr>
      <w:r>
        <w:t>Die Speicherung und Verarbeitung der Negativinformation verstößt gegen:</w:t>
      </w:r>
    </w:p>
    <w:p>
      <w:pPr>
        <w:pStyle w:val="ListBullet"/>
      </w:pPr>
      <w:r>
        <w:rPr>
          <w:b/>
        </w:rPr>
        <w:t>Art. 6 Abs. 1 DSGVO:</w:t>
      </w:r>
      <w:r>
        <w:t xml:space="preserve"> Eine rechtmäßige Verarbeitung erfordert ein berechtigtes Interesse, das die Interessen der betroffenen Person überwiegt. Angesichts der streitigen Forderung und der schwerwiegenden Folgen für Frau Wittfeldt (mögliche Obdachlosigkeit bei Verlust der Wohnung, Ausschluss von Finanzdienstleistungen) überwiegt das Interesse der Betroffenen.</w:t>
      </w:r>
    </w:p>
    <w:p>
      <w:pPr>
        <w:pStyle w:val="ListBullet"/>
      </w:pPr>
      <w:r>
        <w:rPr>
          <w:b/>
        </w:rPr>
        <w:t>Art. 17 DSGVO (Recht auf Löschung):</w:t>
      </w:r>
      <w:r>
        <w:t xml:space="preserve"> Die Daten sind unrichtig (§ 35 Abs. 1 BDSG) oder ihre Verarbeitung ist unzulässig.</w:t>
      </w:r>
    </w:p>
    <w:p>
      <w:pPr>
        <w:pStyle w:val="Heading3"/>
      </w:pPr>
      <w:r>
        <w:rPr>
          <w:rFonts w:ascii="Times New Roman" w:hAnsi="Times New Roman"/>
        </w:rPr>
        <w:t>3. Löschung hilfsweise nach § 35 Abs. 2 BDSG</w:t>
      </w:r>
    </w:p>
    <w:p>
      <w:pPr>
        <w:jc w:val="left"/>
      </w:pPr>
      <w:r>
        <w:t xml:space="preserve">Hilfsweise begehren wir die </w:t>
      </w:r>
      <w:r>
        <w:rPr>
          <w:b/>
        </w:rPr>
        <w:t>Einschränkung der Verarbeitung</w:t>
      </w:r>
      <w:r>
        <w:t xml:space="preserve"> nach Art. 18 DSGVO (Sperrung) für die Dauer des laufenden Rechtsstreits.</w:t>
      </w:r>
    </w:p>
    <w:p/>
    <w:p>
      <w:pPr>
        <w:pStyle w:val="Heading2"/>
      </w:pPr>
      <w:r>
        <w:rPr>
          <w:rFonts w:ascii="Times New Roman" w:hAnsi="Times New Roman"/>
        </w:rPr>
        <w:t>III. Klage AG Bremen-Blumenthal (Az. 15 C 124/26)</w:t>
      </w:r>
    </w:p>
    <w:p>
      <w:pPr>
        <w:jc w:val="left"/>
      </w:pPr>
      <w:r>
        <w:t xml:space="preserve">Da die Schufa-Meldung die Wohnsituation von Frau Wittfeldt unmittelbar gefährdet (Ablehnung bei Mietgesuch), haben wir beim </w:t>
      </w:r>
      <w:r>
        <w:rPr>
          <w:b/>
        </w:rPr>
        <w:t>AG Bremen-Blumenthal</w:t>
      </w:r>
      <w:r>
        <w:t xml:space="preserve"> (Az. 15 C 124/26) bereits eine </w:t>
      </w:r>
      <w:r>
        <w:rPr>
          <w:b/>
        </w:rPr>
        <w:t>Unterlassungsklage / Löschungsklage</w:t>
      </w:r>
      <w:r>
        <w:t xml:space="preserve"> nach §§ 823 Abs. 1, 1004 BGB i.V.m. Art. 17 DSGVO eingereicht.</w:t>
      </w:r>
    </w:p>
    <w:p>
      <w:pPr>
        <w:jc w:val="left"/>
      </w:pPr>
      <w:r>
        <w:rPr>
          <w:b/>
        </w:rPr>
        <w:t>Streitgegenstand:</w:t>
      </w:r>
      <w:r>
        <w:t xml:space="preserve"> Löschung / Widerruf der Schufa-Meldung (71.380 EUR, Gläubiger: Sparkasse Bremen).</w:t>
      </w:r>
    </w:p>
    <w:p>
      <w:pPr>
        <w:jc w:val="left"/>
      </w:pPr>
      <w:r>
        <w:rPr>
          <w:b/>
        </w:rPr>
        <w:t>Streitwert:</w:t>
      </w:r>
      <w:r>
        <w:t xml:space="preserve"> 7.138,00 EUR (10 % der Forderung, übliche Praxis AG).</w:t>
      </w:r>
    </w:p>
    <w:p>
      <w:pPr>
        <w:jc w:val="left"/>
      </w:pPr>
      <w:r>
        <w:rPr>
          <w:b/>
        </w:rPr>
        <w:t>Verhandlungstermin:</w:t>
      </w:r>
      <w:r>
        <w:t xml:space="preserve"> Noch nicht anberaumt.</w:t>
      </w:r>
    </w:p>
    <w:p/>
    <w:p>
      <w:pPr>
        <w:pStyle w:val="Heading2"/>
      </w:pPr>
      <w:r>
        <w:rPr>
          <w:rFonts w:ascii="Times New Roman" w:hAnsi="Times New Roman"/>
        </w:rPr>
        <w:t>IV. Auswirkung auf Frau Wittfeldt</w:t>
      </w:r>
    </w:p>
    <w:p>
      <w:pPr>
        <w:jc w:val="left"/>
      </w:pPr>
      <w:r>
        <w:t>Der Schufa-Eintrag hat folgende konkrete negative Konsequenzen verursacht:</w:t>
      </w:r>
    </w:p>
    <w:p>
      <w:pPr>
        <w:pStyle w:val="ListNumber"/>
      </w:pPr>
      <w:r>
        <w:rPr>
          <w:b/>
        </w:rPr>
        <w:t>Mietgesuch abgelehnt</w:t>
      </w:r>
      <w:r>
        <w:t xml:space="preserve"> (Januar 2026, Wohnungsbaugesellschaft Brebau): Frau Wittfeldt sucht ggf. eine kleinere Wohnung, falls die Eigentumswohnung versteigert wird.</w:t>
      </w:r>
    </w:p>
    <w:p>
      <w:pPr>
        <w:pStyle w:val="ListNumber"/>
      </w:pPr>
      <w:r>
        <w:rPr>
          <w:b/>
        </w:rPr>
        <w:t>Kreditantrag abgelehnt</w:t>
      </w:r>
      <w:r>
        <w:t xml:space="preserve"> (Volksbank Bremen Nord, Februar 2026): Kleinkredit für Heizungsreparatur.</w:t>
      </w:r>
    </w:p>
    <w:p>
      <w:pPr>
        <w:pStyle w:val="ListNumber"/>
      </w:pPr>
      <w:r>
        <w:rPr>
          <w:b/>
        </w:rPr>
        <w:t>Versicherungsvertrag nicht zustande gekommen</w:t>
      </w:r>
      <w:r>
        <w:t xml:space="preserve"> (Allianz, Kfz-Versicherung): Erhöhte Schufa-Klasse als Ablehnungsgrund.</w:t>
      </w:r>
    </w:p>
    <w:p>
      <w:pPr>
        <w:pStyle w:val="ListNumber"/>
      </w:pPr>
      <w:r>
        <w:rPr>
          <w:b/>
        </w:rPr>
        <w:t>Psychische Belastung:</w:t>
      </w:r>
      <w:r>
        <w:t xml:space="preserve"> Frau Wittfeldt berichtet über Schlafschwierigkeiten und soziale Isolation infolge der Scham über den Eintrag.</w:t>
      </w:r>
    </w:p>
    <w:p/>
    <w:p>
      <w:pPr>
        <w:pStyle w:val="Heading2"/>
      </w:pPr>
      <w:r>
        <w:rPr>
          <w:rFonts w:ascii="Times New Roman" w:hAnsi="Times New Roman"/>
        </w:rPr>
        <w:t>V. Chronologie der Schufa-Streitigkeit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Dezember 2025</w:t>
            </w:r>
          </w:p>
        </w:tc>
        <w:tc>
          <w:tcPr>
            <w:tcW w:type="dxa" w:w="4536"/>
          </w:tcPr>
          <w:p>
            <w:r>
              <w:rPr>
                <w:rFonts w:ascii="Times New Roman" w:hAnsi="Times New Roman"/>
                <w:sz w:val="20"/>
              </w:rPr>
              <w:t>Sparkasse Bremen meldet Forderung 71.380 EUR an Schufa</w:t>
            </w:r>
          </w:p>
        </w:tc>
      </w:tr>
      <w:tr>
        <w:tc>
          <w:tcPr>
            <w:tcW w:type="dxa" w:w="4536"/>
          </w:tcPr>
          <w:p>
            <w:r>
              <w:rPr>
                <w:rFonts w:ascii="Times New Roman" w:hAnsi="Times New Roman"/>
                <w:sz w:val="20"/>
              </w:rPr>
              <w:t>Januar 2026</w:t>
            </w:r>
          </w:p>
        </w:tc>
        <w:tc>
          <w:tcPr>
            <w:tcW w:type="dxa" w:w="4536"/>
          </w:tcPr>
          <w:p>
            <w:r>
              <w:rPr>
                <w:rFonts w:ascii="Times New Roman" w:hAnsi="Times New Roman"/>
                <w:sz w:val="20"/>
              </w:rPr>
              <w:t>Frau Wittfeldt erhält Schufa-Selbstauskunft; Score Klasse H</w:t>
            </w:r>
          </w:p>
        </w:tc>
      </w:tr>
      <w:tr>
        <w:tc>
          <w:tcPr>
            <w:tcW w:type="dxa" w:w="4536"/>
          </w:tcPr>
          <w:p>
            <w:r>
              <w:rPr>
                <w:rFonts w:ascii="Times New Roman" w:hAnsi="Times New Roman"/>
                <w:sz w:val="20"/>
              </w:rPr>
              <w:t>03.04.2026</w:t>
            </w:r>
          </w:p>
        </w:tc>
        <w:tc>
          <w:tcPr>
            <w:tcW w:type="dxa" w:w="4536"/>
          </w:tcPr>
          <w:p>
            <w:r>
              <w:rPr>
                <w:rFonts w:ascii="Times New Roman" w:hAnsi="Times New Roman"/>
                <w:sz w:val="20"/>
              </w:rPr>
              <w:t>Mandatsbeginn bei Dr. Pflüger</w:t>
            </w:r>
          </w:p>
        </w:tc>
      </w:tr>
      <w:tr>
        <w:tc>
          <w:tcPr>
            <w:tcW w:type="dxa" w:w="4536"/>
          </w:tcPr>
          <w:p>
            <w:r>
              <w:rPr>
                <w:rFonts w:ascii="Times New Roman" w:hAnsi="Times New Roman"/>
                <w:sz w:val="20"/>
              </w:rPr>
              <w:t>17.04.2026</w:t>
            </w:r>
          </w:p>
        </w:tc>
        <w:tc>
          <w:tcPr>
            <w:tcW w:type="dxa" w:w="4536"/>
          </w:tcPr>
          <w:p>
            <w:r>
              <w:rPr>
                <w:rFonts w:ascii="Times New Roman" w:hAnsi="Times New Roman"/>
                <w:sz w:val="20"/>
              </w:rPr>
              <w:t>Widerspruch gegen Kreditkündigung (→ Aktenstück 12)</w:t>
            </w:r>
          </w:p>
        </w:tc>
      </w:tr>
      <w:tr>
        <w:tc>
          <w:tcPr>
            <w:tcW w:type="dxa" w:w="4536"/>
          </w:tcPr>
          <w:p>
            <w:r>
              <w:rPr>
                <w:rFonts w:ascii="Times New Roman" w:hAnsi="Times New Roman"/>
                <w:sz w:val="20"/>
              </w:rPr>
              <w:t>21.04.2026</w:t>
            </w:r>
          </w:p>
        </w:tc>
        <w:tc>
          <w:tcPr>
            <w:tcW w:type="dxa" w:w="4536"/>
          </w:tcPr>
          <w:p>
            <w:r>
              <w:rPr>
                <w:rFonts w:ascii="Times New Roman" w:hAnsi="Times New Roman"/>
                <w:sz w:val="20"/>
              </w:rPr>
              <w:t>Löschungsbegehren an Schufa (dieses Dokument)</w:t>
            </w:r>
          </w:p>
        </w:tc>
      </w:tr>
      <w:tr>
        <w:tc>
          <w:tcPr>
            <w:tcW w:type="dxa" w:w="4536"/>
          </w:tcPr>
          <w:p>
            <w:r>
              <w:rPr>
                <w:rFonts w:ascii="Times New Roman" w:hAnsi="Times New Roman"/>
                <w:sz w:val="20"/>
              </w:rPr>
              <w:t>21.04.2026</w:t>
            </w:r>
          </w:p>
        </w:tc>
        <w:tc>
          <w:tcPr>
            <w:tcW w:type="dxa" w:w="4536"/>
          </w:tcPr>
          <w:p>
            <w:r>
              <w:rPr>
                <w:rFonts w:ascii="Times New Roman" w:hAnsi="Times New Roman"/>
                <w:sz w:val="20"/>
              </w:rPr>
              <w:t>Klageeinreichung AG Bremen-Blumenthal, Az. 15 C 124/26</w:t>
            </w:r>
          </w:p>
        </w:tc>
      </w:tr>
      <w:tr>
        <w:tc>
          <w:tcPr>
            <w:tcW w:type="dxa" w:w="4536"/>
          </w:tcPr>
          <w:p>
            <w:r>
              <w:rPr>
                <w:rFonts w:ascii="Times New Roman" w:hAnsi="Times New Roman"/>
                <w:sz w:val="20"/>
              </w:rPr>
              <w:t>Offen</w:t>
            </w:r>
          </w:p>
        </w:tc>
        <w:tc>
          <w:tcPr>
            <w:tcW w:type="dxa" w:w="4536"/>
          </w:tcPr>
          <w:p>
            <w:r>
              <w:rPr>
                <w:rFonts w:ascii="Times New Roman" w:hAnsi="Times New Roman"/>
                <w:sz w:val="20"/>
              </w:rPr>
              <w:t>Reaktion Schufa (Frist: 04 Wochen nach Art. 12 DSGVO)</w:t>
            </w:r>
          </w:p>
        </w:tc>
      </w:tr>
      <w:tr>
        <w:tc>
          <w:tcPr>
            <w:tcW w:type="dxa" w:w="4536"/>
          </w:tcPr>
          <w:p>
            <w:r>
              <w:rPr>
                <w:rFonts w:ascii="Times New Roman" w:hAnsi="Times New Roman"/>
                <w:sz w:val="20"/>
              </w:rPr>
              <w:t>Offen</w:t>
            </w:r>
          </w:p>
        </w:tc>
        <w:tc>
          <w:tcPr>
            <w:tcW w:type="dxa" w:w="4536"/>
          </w:tcPr>
          <w:p>
            <w:r>
              <w:rPr>
                <w:rFonts w:ascii="Times New Roman" w:hAnsi="Times New Roman"/>
                <w:sz w:val="20"/>
              </w:rPr>
              <w:t>Reaktion Sparkasse (Rücknahme Schufa-Meldung?)</w:t>
            </w:r>
          </w:p>
        </w:tc>
      </w:tr>
    </w:tbl>
    <w:p/>
    <w:p>
      <w:pPr>
        <w:jc w:val="left"/>
      </w:pPr>
      <w:r>
        <w:rPr>
          <w:i/>
        </w:rPr>
        <w:t>Erstellt: 21.04.2026 · Dr. S. Pflüger</w:t>
      </w:r>
    </w:p>
    <w:p>
      <w:pPr>
        <w:jc w:val="left"/>
      </w:pPr>
      <w:r>
        <w:rPr>
          <w:i/>
        </w:rPr>
        <w:t>Quellen: BGH VI ZR 156/13, VI ZR 495/16 (dejure.org); Art. 17 DSGVO; § 35 BDSG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