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Meldung an Verbraucherzentrale Bremen</w:t>
      </w:r>
    </w:p>
    <w:p>
      <w:pPr>
        <w:jc w:val="left"/>
      </w:pPr>
      <w:r>
        <w:rPr>
          <w:b/>
        </w:rPr>
        <w:t>Aktenzeichen:</w:t>
      </w:r>
      <w:r>
        <w:t xml:space="preserve"> PS-BKR-2026-0412</w:t>
      </w:r>
    </w:p>
    <w:p>
      <w:pPr>
        <w:jc w:val="left"/>
      </w:pPr>
      <w:r>
        <w:rPr>
          <w:b/>
        </w:rPr>
        <w:t>Datum:</w:t>
      </w:r>
      <w:r>
        <w:t xml:space="preserve"> 22.04.2026</w:t>
      </w:r>
    </w:p>
    <w:p/>
    <w:p>
      <w:pPr>
        <w:pStyle w:val="Heading2"/>
      </w:pPr>
      <w:r>
        <w:rPr>
          <w:rFonts w:ascii="Times New Roman" w:hAnsi="Times New Roman"/>
        </w:rPr>
        <w:t>I. Schreiben an Verbraucherzentrale Bremen</w:t>
      </w:r>
    </w:p>
    <w:p>
      <w:pPr>
        <w:jc w:val="left"/>
      </w:pPr>
      <w:r>
        <w:rPr>
          <w:b/>
        </w:rPr>
        <w:t>Kanzlei Pflüger Schoeneberg Bankrecht</w:t>
      </w:r>
    </w:p>
    <w:p>
      <w:pPr>
        <w:jc w:val="left"/>
      </w:pPr>
      <w:r>
        <w:t>Am Markt 14 · 28195 Bremen</w:t>
      </w:r>
    </w:p>
    <w:p>
      <w:pPr>
        <w:jc w:val="left"/>
      </w:pPr>
      <w:r>
        <w:rPr>
          <w:b/>
        </w:rPr>
        <w:t>An:</w:t>
      </w:r>
    </w:p>
    <w:p>
      <w:pPr>
        <w:jc w:val="left"/>
      </w:pPr>
      <w:r>
        <w:t>Verbraucherzentrale Bremen e.V.</w:t>
      </w:r>
    </w:p>
    <w:p>
      <w:pPr>
        <w:jc w:val="left"/>
      </w:pPr>
      <w:r>
        <w:t>Altenweg 4</w:t>
      </w:r>
    </w:p>
    <w:p>
      <w:pPr>
        <w:jc w:val="left"/>
      </w:pPr>
      <w:r>
        <w:t>28195 Bremen</w:t>
      </w:r>
    </w:p>
    <w:p>
      <w:pPr>
        <w:jc w:val="left"/>
      </w:pPr>
      <w:r>
        <w:t>(auch per E-Mail: info@vzb.de)</w:t>
      </w:r>
    </w:p>
    <w:p>
      <w:pPr>
        <w:jc w:val="left"/>
      </w:pPr>
      <w:r>
        <w:rPr>
          <w:b/>
        </w:rPr>
        <w:t>Betreff:</w:t>
      </w:r>
      <w:r>
        <w:t xml:space="preserve"> Meldung Cybertrading-Betrug / CryptoFutureMax.io – Bitte um Aufnahme in Warnliste</w:t>
      </w:r>
    </w:p>
    <w:p>
      <w:pPr>
        <w:jc w:val="left"/>
      </w:pPr>
      <w:r>
        <w:rPr>
          <w:b/>
        </w:rPr>
        <w:t>Datum:</w:t>
      </w:r>
      <w:r>
        <w:t xml:space="preserve"> 22.04.2026</w:t>
      </w:r>
    </w:p>
    <w:p>
      <w:pPr>
        <w:jc w:val="left"/>
      </w:pPr>
      <w:r>
        <w:t>Sehr geehrte Damen und Herren,</w:t>
      </w:r>
    </w:p>
    <w:p>
      <w:pPr>
        <w:jc w:val="left"/>
      </w:pPr>
      <w:r>
        <w:t xml:space="preserve">wir vertreten Frau Eva-Maria Wittfeldt aus Bremen-Vegesack, die im Zeitraum September 2024 bis März 2025 durch die betrügerische Krypto-Handelsplattform </w:t>
      </w:r>
      <w:r>
        <w:rPr>
          <w:b/>
        </w:rPr>
        <w:t>CryptoFutureMax.io</w:t>
      </w:r>
      <w:r>
        <w:t xml:space="preserve"> um insgesamt </w:t>
      </w:r>
      <w:r>
        <w:rPr>
          <w:b/>
        </w:rPr>
        <w:t>387.420 EUR</w:t>
      </w:r>
      <w:r>
        <w:t xml:space="preserve"> geschädigt wurde. Eine ausführliche Darstellung des Sachverhalts finden Sie in der beigefügten Zusammenfassung.</w:t>
      </w:r>
    </w:p>
    <w:p>
      <w:pPr>
        <w:jc w:val="left"/>
      </w:pPr>
      <w:r>
        <w:t>Wir melden diesen Fall mit dem ausdrücklichen Einverständnis unserer Mandantin und beantragen:</w:t>
      </w:r>
    </w:p>
    <w:p>
      <w:pPr>
        <w:pStyle w:val="ListNumber"/>
      </w:pPr>
      <w:r>
        <w:rPr>
          <w:b/>
        </w:rPr>
        <w:t>Aufnahme von CryptoFutureMax.io in die öffentliche Warnliste</w:t>
      </w:r>
      <w:r>
        <w:t xml:space="preserve"> der Verbraucherzentrale Bremen.</w:t>
      </w:r>
    </w:p>
    <w:p>
      <w:pPr>
        <w:pStyle w:val="ListNumber"/>
      </w:pPr>
      <w:r>
        <w:rPr>
          <w:b/>
        </w:rPr>
        <w:t>Öffentlichkeitsarbeit:</w:t>
      </w:r>
      <w:r>
        <w:t xml:space="preserve"> Hinweis an die Bremer Öffentlichkeit (ggf. in Zusammenarbeit mit den Bremer Medien) über das Muster solcher Cybertrading-Betrügereien, insbesondere für ältere Menschen.</w:t>
      </w:r>
    </w:p>
    <w:p>
      <w:pPr>
        <w:pStyle w:val="ListNumber"/>
      </w:pPr>
      <w:r>
        <w:rPr>
          <w:b/>
        </w:rPr>
        <w:t>Weiterleitung an vzbv (Verbraucherzentrale Bundesverband)</w:t>
      </w:r>
      <w:r>
        <w:t xml:space="preserve"> und </w:t>
      </w:r>
      <w:r>
        <w:rPr>
          <w:b/>
        </w:rPr>
        <w:t>BKA-Beschwerdestelle</w:t>
      </w:r>
      <w:r>
        <w:t xml:space="preserve"> (www.bka.de/internetbeschwerdestelle).</w:t>
      </w:r>
    </w:p>
    <w:p>
      <w:pPr>
        <w:pStyle w:val="ListNumber"/>
      </w:pPr>
      <w:r>
        <w:rPr>
          <w:b/>
        </w:rPr>
        <w:t>Kooperation mit der Polizei Bremen ZKD</w:t>
      </w:r>
      <w:r>
        <w:t xml:space="preserve"> (AZ: ZD 3001 UJs 8841/26).</w:t>
      </w:r>
    </w:p>
    <w:p/>
    <w:p>
      <w:pPr>
        <w:pStyle w:val="Heading2"/>
      </w:pPr>
      <w:r>
        <w:rPr>
          <w:rFonts w:ascii="Times New Roman" w:hAnsi="Times New Roman"/>
        </w:rPr>
        <w:t>II. Muster des Cybertrading-Betruges – Aufklärungshinweise</w:t>
      </w:r>
    </w:p>
    <w:p>
      <w:pPr>
        <w:jc w:val="left"/>
      </w:pPr>
      <w:r>
        <w:t>Für die Öffentlichkeitsarbeit der Verbraucherzentrale fassen wir das Betrugsschema wie folgt zusammen:</w:t>
      </w:r>
    </w:p>
    <w:p>
      <w:pPr>
        <w:pStyle w:val="Heading3"/>
      </w:pPr>
      <w:r>
        <w:rPr>
          <w:rFonts w:ascii="Times New Roman" w:hAnsi="Times New Roman"/>
        </w:rPr>
        <w:t>Typische Merkmale des „Romance Scam meets Investment Fraud" (Hybrid-Schema):</w:t>
      </w:r>
    </w:p>
    <w:p>
      <w:pPr>
        <w:jc w:val="left"/>
      </w:pPr>
      <w:r>
        <w:rPr>
          <w:b/>
        </w:rPr>
        <w:t>Phase 1 – Köder:</w:t>
      </w:r>
    </w:p>
    <w:p>
      <w:pPr>
        <w:pStyle w:val="ListBullet"/>
      </w:pPr>
      <w:r>
        <w:t>Bezahlte Social-Media-Werbung (Facebook, Instagram) mit unrealistischen Renditeversprechen.</w:t>
      </w:r>
    </w:p>
    <w:p>
      <w:pPr>
        <w:pStyle w:val="ListBullet"/>
      </w:pPr>
      <w:r>
        <w:t>Professionell wirkende Website mit gefälschtem BaFin-Logo.</w:t>
      </w:r>
    </w:p>
    <w:p>
      <w:pPr>
        <w:pStyle w:val="ListBullet"/>
      </w:pPr>
      <w:r>
        <w:t>Freundlicher, deutschsprachiger „Berater" kontaktiert Opfer per WhatsApp.</w:t>
      </w:r>
    </w:p>
    <w:p>
      <w:pPr>
        <w:jc w:val="left"/>
      </w:pPr>
      <w:r>
        <w:rPr>
          <w:b/>
        </w:rPr>
        <w:t>Phase 2 – Vertrauen:</w:t>
      </w:r>
    </w:p>
    <w:p>
      <w:pPr>
        <w:pStyle w:val="ListBullet"/>
      </w:pPr>
      <w:r>
        <w:t>Persönliche Beziehung über Wochen und Monate aufgebaut.</w:t>
      </w:r>
    </w:p>
    <w:p>
      <w:pPr>
        <w:pStyle w:val="ListBullet"/>
      </w:pPr>
      <w:r>
        <w:t>Kleine „Erfolge" auf manipuliertem Dashboard gezeigt.</w:t>
      </w:r>
    </w:p>
    <w:p>
      <w:pPr>
        <w:pStyle w:val="ListBullet"/>
      </w:pPr>
      <w:r>
        <w:t>Erstinvestition erscheint profitabel; Opfer wird zu weiterer Einzahlung gedrängt.</w:t>
      </w:r>
    </w:p>
    <w:p>
      <w:pPr>
        <w:jc w:val="left"/>
      </w:pPr>
      <w:r>
        <w:rPr>
          <w:b/>
        </w:rPr>
        <w:t>Phase 3 – Abschöpfung:</w:t>
      </w:r>
    </w:p>
    <w:p>
      <w:pPr>
        <w:pStyle w:val="ListBullet"/>
      </w:pPr>
      <w:r>
        <w:t>Mehrere Überweisungen, zuletzt unter Druck (Ausschlussfristen für exklusive Pools).</w:t>
      </w:r>
    </w:p>
    <w:p>
      <w:pPr>
        <w:pStyle w:val="ListBullet"/>
      </w:pPr>
      <w:r>
        <w:t>Vorabgebühren für Auszahlung gefordert (Steuern, Compliance, AML).</w:t>
      </w:r>
    </w:p>
    <w:p>
      <w:pPr>
        <w:pStyle w:val="ListBullet"/>
      </w:pPr>
      <w:r>
        <w:t>Wenn kein Geld mehr da ist: Kommunikation wird eingestellt.</w:t>
      </w:r>
    </w:p>
    <w:p>
      <w:pPr>
        <w:jc w:val="left"/>
      </w:pPr>
      <w:r>
        <w:rPr>
          <w:b/>
        </w:rPr>
        <w:t>Phase 4 – Verschwinden:</w:t>
      </w:r>
    </w:p>
    <w:p>
      <w:pPr>
        <w:pStyle w:val="ListBullet"/>
      </w:pPr>
      <w:r>
        <w:t>WhatsApp-Nummer gesperrt, E-Mail-Bounce.</w:t>
      </w:r>
    </w:p>
    <w:p>
      <w:pPr>
        <w:pStyle w:val="ListBullet"/>
      </w:pPr>
      <w:r>
        <w:t>Website bleibt aktiv (um neue Opfer anzulocken).</w:t>
      </w:r>
    </w:p>
    <w:p>
      <w:pPr>
        <w:pStyle w:val="ListBullet"/>
      </w:pPr>
      <w:r>
        <w:t>Kontaktaufnahme zu Strafverfolgungsbehörden zeigt oft nur geringe kurzfristige Erfolge.</w:t>
      </w:r>
    </w:p>
    <w:p>
      <w:pPr>
        <w:pStyle w:val="Heading3"/>
      </w:pPr>
      <w:r>
        <w:rPr>
          <w:rFonts w:ascii="Times New Roman" w:hAnsi="Times New Roman"/>
        </w:rPr>
        <w:t>Warnzeichen für die Öffentlichkeit:</w:t>
      </w:r>
    </w:p>
    <w:p>
      <w:pPr>
        <w:pStyle w:val="ListNumber"/>
      </w:pPr>
      <w:r>
        <w:t xml:space="preserve">Garantierte Renditen von &gt;5 % p.m. auf Kryptowährungen – </w:t>
      </w:r>
      <w:r>
        <w:rPr>
          <w:b/>
        </w:rPr>
        <w:t>nicht seriös</w:t>
      </w:r>
      <w:r>
        <w:t>.</w:t>
      </w:r>
    </w:p>
    <w:p>
      <w:pPr>
        <w:pStyle w:val="ListNumber"/>
      </w:pPr>
      <w:r>
        <w:t xml:space="preserve">Beratung ausschließlich per WhatsApp / Telefon – </w:t>
      </w:r>
      <w:r>
        <w:rPr>
          <w:b/>
        </w:rPr>
        <w:t>kein reguliertes Institut</w:t>
      </w:r>
      <w:r>
        <w:t>.</w:t>
      </w:r>
    </w:p>
    <w:p>
      <w:pPr>
        <w:pStyle w:val="ListNumber"/>
      </w:pPr>
      <w:r>
        <w:t xml:space="preserve">Vorabzahlungen für Auszahlungen (Steuern, Gebühren) – </w:t>
      </w:r>
      <w:r>
        <w:rPr>
          <w:b/>
        </w:rPr>
        <w:t>klassischer Advance-Fee-Fraud</w:t>
      </w:r>
      <w:r>
        <w:t>.</w:t>
      </w:r>
    </w:p>
    <w:p>
      <w:pPr>
        <w:pStyle w:val="ListNumber"/>
      </w:pPr>
      <w:r>
        <w:t xml:space="preserve">Kein BaFin-Zulassungsnummer auf der Website → </w:t>
      </w:r>
      <w:r>
        <w:rPr>
          <w:b/>
        </w:rPr>
        <w:t>BaFin-Register prüfen</w:t>
      </w:r>
      <w:r>
        <w:t xml:space="preserve"> (bafin.de → Datenbanken → Alle Unternehmen).</w:t>
      </w:r>
    </w:p>
    <w:p>
      <w:pPr>
        <w:pStyle w:val="ListNumber"/>
      </w:pPr>
      <w:r>
        <w:t>Keine DSGVO-konforme Datenschutzerklärung, kein Impressum mit EU-Adresse.</w:t>
      </w:r>
    </w:p>
    <w:p/>
    <w:p>
      <w:pPr>
        <w:pStyle w:val="Heading2"/>
      </w:pPr>
      <w:r>
        <w:rPr>
          <w:rFonts w:ascii="Times New Roman" w:hAnsi="Times New Roman"/>
        </w:rPr>
        <w:t>III. Begleitinformationen für Verbraucherzentrale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Information</w:t>
            </w:r>
          </w:p>
        </w:tc>
        <w:tc>
          <w:tcPr>
            <w:tcW w:type="dxa" w:w="4536"/>
          </w:tcPr>
          <w:p>
            <w:r>
              <w:rPr>
                <w:rFonts w:ascii="Times New Roman" w:hAnsi="Times New Roman"/>
                <w:b/>
                <w:sz w:val="20"/>
              </w:rPr>
              <w:t>Inhalt</w:t>
            </w:r>
          </w:p>
        </w:tc>
      </w:tr>
      <w:tr>
        <w:tc>
          <w:tcPr>
            <w:tcW w:type="dxa" w:w="4536"/>
          </w:tcPr>
          <w:p>
            <w:r>
              <w:rPr>
                <w:rFonts w:ascii="Times New Roman" w:hAnsi="Times New Roman"/>
                <w:sz w:val="20"/>
              </w:rPr>
              <w:t>Schadenshöhe (Einzelfall)</w:t>
            </w:r>
          </w:p>
        </w:tc>
        <w:tc>
          <w:tcPr>
            <w:tcW w:type="dxa" w:w="4536"/>
          </w:tcPr>
          <w:p>
            <w:r>
              <w:rPr>
                <w:rFonts w:ascii="Times New Roman" w:hAnsi="Times New Roman"/>
                <w:sz w:val="20"/>
              </w:rPr>
              <w:t>387.420 EUR</w:t>
            </w:r>
          </w:p>
        </w:tc>
      </w:tr>
      <w:tr>
        <w:tc>
          <w:tcPr>
            <w:tcW w:type="dxa" w:w="4536"/>
          </w:tcPr>
          <w:p>
            <w:r>
              <w:rPr>
                <w:rFonts w:ascii="Times New Roman" w:hAnsi="Times New Roman"/>
                <w:sz w:val="20"/>
              </w:rPr>
              <w:t>Geschädigte Person</w:t>
            </w:r>
          </w:p>
        </w:tc>
        <w:tc>
          <w:tcPr>
            <w:tcW w:type="dxa" w:w="4536"/>
          </w:tcPr>
          <w:p>
            <w:r>
              <w:rPr>
                <w:rFonts w:ascii="Times New Roman" w:hAnsi="Times New Roman"/>
                <w:sz w:val="20"/>
              </w:rPr>
              <w:t>64-jährige EM-Rentnerin, Bremen-Vegesack</w:t>
            </w:r>
          </w:p>
        </w:tc>
      </w:tr>
      <w:tr>
        <w:tc>
          <w:tcPr>
            <w:tcW w:type="dxa" w:w="4536"/>
          </w:tcPr>
          <w:p>
            <w:r>
              <w:rPr>
                <w:rFonts w:ascii="Times New Roman" w:hAnsi="Times New Roman"/>
                <w:sz w:val="20"/>
              </w:rPr>
              <w:t>Betrügerische Plattform</w:t>
            </w:r>
          </w:p>
        </w:tc>
        <w:tc>
          <w:tcPr>
            <w:tcW w:type="dxa" w:w="4536"/>
          </w:tcPr>
          <w:p>
            <w:r>
              <w:rPr>
                <w:rFonts w:ascii="Times New Roman" w:hAnsi="Times New Roman"/>
                <w:sz w:val="20"/>
              </w:rPr>
              <w:t>CryptoFutureMax.io (aktiv seit Juli 2024)</w:t>
            </w:r>
          </w:p>
        </w:tc>
      </w:tr>
      <w:tr>
        <w:tc>
          <w:tcPr>
            <w:tcW w:type="dxa" w:w="4536"/>
          </w:tcPr>
          <w:p>
            <w:r>
              <w:rPr>
                <w:rFonts w:ascii="Times New Roman" w:hAnsi="Times New Roman"/>
                <w:sz w:val="20"/>
              </w:rPr>
              <w:t>Plattform-Hosting</w:t>
            </w:r>
          </w:p>
        </w:tc>
        <w:tc>
          <w:tcPr>
            <w:tcW w:type="dxa" w:w="4536"/>
          </w:tcPr>
          <w:p>
            <w:r>
              <w:rPr>
                <w:rFonts w:ascii="Times New Roman" w:hAnsi="Times New Roman"/>
                <w:sz w:val="20"/>
              </w:rPr>
              <w:t>Serverius B.V., Amsterdam (Niederlande)</w:t>
            </w:r>
          </w:p>
        </w:tc>
      </w:tr>
      <w:tr>
        <w:tc>
          <w:tcPr>
            <w:tcW w:type="dxa" w:w="4536"/>
          </w:tcPr>
          <w:p>
            <w:r>
              <w:rPr>
                <w:rFonts w:ascii="Times New Roman" w:hAnsi="Times New Roman"/>
                <w:sz w:val="20"/>
              </w:rPr>
              <w:t>Domain-Registrar</w:t>
            </w:r>
          </w:p>
        </w:tc>
        <w:tc>
          <w:tcPr>
            <w:tcW w:type="dxa" w:w="4536"/>
          </w:tcPr>
          <w:p>
            <w:r>
              <w:rPr>
                <w:rFonts w:ascii="Times New Roman" w:hAnsi="Times New Roman"/>
                <w:sz w:val="20"/>
              </w:rPr>
              <w:t>Namecheap (Zypern-Anschrift)</w:t>
            </w:r>
          </w:p>
        </w:tc>
      </w:tr>
      <w:tr>
        <w:tc>
          <w:tcPr>
            <w:tcW w:type="dxa" w:w="4536"/>
          </w:tcPr>
          <w:p>
            <w:r>
              <w:rPr>
                <w:rFonts w:ascii="Times New Roman" w:hAnsi="Times New Roman"/>
                <w:sz w:val="20"/>
              </w:rPr>
              <w:t>Täter (Alias)</w:t>
            </w:r>
          </w:p>
        </w:tc>
        <w:tc>
          <w:tcPr>
            <w:tcW w:type="dxa" w:w="4536"/>
          </w:tcPr>
          <w:p>
            <w:r>
              <w:rPr>
                <w:rFonts w:ascii="Times New Roman" w:hAnsi="Times New Roman"/>
                <w:sz w:val="20"/>
              </w:rPr>
              <w:t>„Robert Volkmann", UK-Mobilnummer</w:t>
            </w:r>
          </w:p>
        </w:tc>
      </w:tr>
      <w:tr>
        <w:tc>
          <w:tcPr>
            <w:tcW w:type="dxa" w:w="4536"/>
          </w:tcPr>
          <w:p>
            <w:r>
              <w:rPr>
                <w:rFonts w:ascii="Times New Roman" w:hAnsi="Times New Roman"/>
                <w:sz w:val="20"/>
              </w:rPr>
              <w:t>Polizeiliches AZ</w:t>
            </w:r>
          </w:p>
        </w:tc>
        <w:tc>
          <w:tcPr>
            <w:tcW w:type="dxa" w:w="4536"/>
          </w:tcPr>
          <w:p>
            <w:r>
              <w:rPr>
                <w:rFonts w:ascii="Times New Roman" w:hAnsi="Times New Roman"/>
                <w:sz w:val="20"/>
              </w:rPr>
              <w:t>ZD 3001 UJs 8841/26, Polizei Bremen ZKD</w:t>
            </w:r>
          </w:p>
        </w:tc>
      </w:tr>
      <w:tr>
        <w:tc>
          <w:tcPr>
            <w:tcW w:type="dxa" w:w="4536"/>
          </w:tcPr>
          <w:p>
            <w:r>
              <w:rPr>
                <w:rFonts w:ascii="Times New Roman" w:hAnsi="Times New Roman"/>
                <w:sz w:val="20"/>
              </w:rPr>
              <w:t>BaFin-Anzeige</w:t>
            </w:r>
          </w:p>
        </w:tc>
        <w:tc>
          <w:tcPr>
            <w:tcW w:type="dxa" w:w="4536"/>
          </w:tcPr>
          <w:p>
            <w:r>
              <w:rPr>
                <w:rFonts w:ascii="Times New Roman" w:hAnsi="Times New Roman"/>
                <w:sz w:val="20"/>
              </w:rPr>
              <w:t>14.04.2026, Referat WA 54</w:t>
            </w:r>
          </w:p>
        </w:tc>
      </w:tr>
      <w:tr>
        <w:tc>
          <w:tcPr>
            <w:tcW w:type="dxa" w:w="4536"/>
          </w:tcPr>
          <w:p>
            <w:r>
              <w:rPr>
                <w:rFonts w:ascii="Times New Roman" w:hAnsi="Times New Roman"/>
                <w:sz w:val="20"/>
              </w:rPr>
              <w:t>Kanzlei</w:t>
            </w:r>
          </w:p>
        </w:tc>
        <w:tc>
          <w:tcPr>
            <w:tcW w:type="dxa" w:w="4536"/>
          </w:tcPr>
          <w:p>
            <w:r>
              <w:rPr>
                <w:rFonts w:ascii="Times New Roman" w:hAnsi="Times New Roman"/>
                <w:sz w:val="20"/>
              </w:rPr>
              <w:t>Dr. Pflüger, 0421 / 33 88 20-0</w:t>
            </w:r>
          </w:p>
        </w:tc>
      </w:tr>
    </w:tbl>
    <w:p/>
    <w:p>
      <w:pPr>
        <w:pStyle w:val="Heading2"/>
      </w:pPr>
      <w:r>
        <w:rPr>
          <w:rFonts w:ascii="Times New Roman" w:hAnsi="Times New Roman"/>
        </w:rPr>
        <w:t>IV. Frühere Beratung der Geschädigten durch Verbraucherzentrale</w:t>
      </w:r>
    </w:p>
    <w:p>
      <w:pPr>
        <w:jc w:val="left"/>
      </w:pPr>
      <w:r>
        <w:t xml:space="preserve">Frau Wittfeldt wandte sich bereits im </w:t>
      </w:r>
      <w:r>
        <w:rPr>
          <w:b/>
        </w:rPr>
        <w:t>April 2025</w:t>
      </w:r>
      <w:r>
        <w:t xml:space="preserve"> an die Verbraucherzentrale Bremen mit dem Hinweis auf die Probleme bei der Auszahlung von CryptoFutureMax. Aus ihren Angaben geht hervor, dass sie beraten wurde, noch abzuwarten und die Plattform erneut zu kontaktieren. Eine Warnung vor dem möglichen Betrug oder ein Hinweis auf die Strafverfolgungsbehörden erfolgte nicht.</w:t>
      </w:r>
    </w:p>
    <w:p>
      <w:pPr>
        <w:jc w:val="left"/>
      </w:pPr>
      <w:r>
        <w:t>Wir weisen auf diesen Umstand ohne Vorwurf hin; er verdeutlicht jedoch, dass geschulte Beratungskapazitäten für Cybertrading-Betrug auch bei der Verbraucherzentrale dringend ausgebaut werden sollten. Wir bitten um Aufnahme dieser Meldung in Ihre interne Qualitätssicherung.</w:t>
      </w:r>
    </w:p>
    <w:p/>
    <w:p>
      <w:pPr>
        <w:pStyle w:val="Heading2"/>
      </w:pPr>
      <w:r>
        <w:rPr>
          <w:rFonts w:ascii="Times New Roman" w:hAnsi="Times New Roman"/>
        </w:rPr>
        <w:t>V. Weitere Kooperation</w:t>
      </w:r>
    </w:p>
    <w:p>
      <w:pPr>
        <w:jc w:val="left"/>
      </w:pPr>
      <w:r>
        <w:t>Wir stehen der Verbraucherzentrale Bremen für Rückfragen, Medienanfragen (nach Abstimmung mit der Mandantin) und für die Vernetzung mit anderen Kanzleien, die ähnliche Fälle betreuen, zur Verfügung.</w:t>
      </w:r>
    </w:p>
    <w:p>
      <w:pPr>
        <w:jc w:val="left"/>
      </w:pPr>
      <w:r>
        <w:t>Mit freundlichen Grüßen</w:t>
      </w:r>
    </w:p>
    <w:p>
      <w:pPr>
        <w:jc w:val="left"/>
      </w:pPr>
      <w:r>
        <w:rPr>
          <w:b/>
        </w:rPr>
        <w:t>Rechtsanwalt Dr. Severin Pflüger</w:t>
      </w:r>
    </w:p>
    <w:p>
      <w:pPr>
        <w:jc w:val="left"/>
      </w:pPr>
      <w:r>
        <w:t>Kanzlei Pflüger Schoeneberg Bankrecht</w:t>
      </w:r>
    </w:p>
    <w:p/>
    <w:p>
      <w:pPr>
        <w:jc w:val="left"/>
      </w:pPr>
      <w:r>
        <w:rPr>
          <w:i/>
        </w:rPr>
        <w:t>Erstellt: 22.04.2026 · Dr. S. Pflüger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