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Psychiatrisches Gutachten: Einsichtsfähigkeit Eva-Maria Wittfeldt</w:t>
      </w:r>
    </w:p>
    <w:p>
      <w:pPr>
        <w:jc w:val="left"/>
      </w:pPr>
      <w:r>
        <w:rPr>
          <w:b/>
        </w:rPr>
        <w:t>Gutachterin:</w:t>
      </w:r>
      <w:r>
        <w:t xml:space="preserve"> Dr. med. Ulrike Sternberg</w:t>
      </w:r>
    </w:p>
    <w:p>
      <w:pPr>
        <w:jc w:val="left"/>
      </w:pPr>
      <w:r>
        <w:t>Fachärztin für Psychiatrie und Psychotherapie</w:t>
      </w:r>
    </w:p>
    <w:p>
      <w:pPr>
        <w:jc w:val="left"/>
      </w:pPr>
      <w:r>
        <w:t>Praxis: Schwachhauser Heerstr. 143, 28211 Bremen</w:t>
      </w:r>
    </w:p>
    <w:p>
      <w:pPr>
        <w:jc w:val="left"/>
      </w:pPr>
      <w:r>
        <w:t>Tel.: 0421 / 44 77 810</w:t>
      </w:r>
    </w:p>
    <w:p>
      <w:pPr>
        <w:jc w:val="left"/>
      </w:pPr>
      <w:r>
        <w:rPr>
          <w:b/>
        </w:rPr>
        <w:t>Auftraggeber:</w:t>
      </w:r>
      <w:r>
        <w:t xml:space="preserve"> Kanzlei Pflüger Schoeneberg Bankrecht (i.A. von Frau Eva-Maria Wittfeldt)</w:t>
      </w:r>
    </w:p>
    <w:p>
      <w:pPr>
        <w:jc w:val="left"/>
      </w:pPr>
      <w:r>
        <w:rPr>
          <w:b/>
        </w:rPr>
        <w:t>Untersuchungstermin:</w:t>
      </w:r>
      <w:r>
        <w:t xml:space="preserve"> 23.04.2026, 09:00 – 12:30 Uhr</w:t>
      </w:r>
    </w:p>
    <w:p>
      <w:pPr>
        <w:jc w:val="left"/>
      </w:pPr>
      <w:r>
        <w:rPr>
          <w:b/>
        </w:rPr>
        <w:t>Gutachten erstellt:</w:t>
      </w:r>
      <w:r>
        <w:t xml:space="preserve"> 28.04.2026</w:t>
      </w:r>
    </w:p>
    <w:p>
      <w:pPr>
        <w:jc w:val="left"/>
      </w:pPr>
      <w:r>
        <w:rPr>
          <w:b/>
        </w:rPr>
        <w:t>Aktenzeichen Kanzlei:</w:t>
      </w:r>
      <w:r>
        <w:t xml:space="preserve"> PS-BKR-2026-0412</w:t>
      </w:r>
    </w:p>
    <w:p/>
    <w:p>
      <w:pPr>
        <w:pStyle w:val="Heading2"/>
      </w:pPr>
      <w:r>
        <w:rPr>
          <w:rFonts w:ascii="Times New Roman" w:hAnsi="Times New Roman"/>
        </w:rPr>
        <w:t>I. Gutachtenauftrag</w:t>
      </w:r>
    </w:p>
    <w:p>
      <w:pPr>
        <w:jc w:val="left"/>
      </w:pPr>
      <w:r>
        <w:t>Kanzlei Pflüger Schoeneberg Bankrecht beauftragte mich, zu den folgenden Fragen Stellung zu nehmen:</w:t>
      </w:r>
    </w:p>
    <w:p>
      <w:pPr>
        <w:pStyle w:val="ListNumber"/>
      </w:pPr>
      <w:r>
        <w:t xml:space="preserve">War Frau Eva-Maria Wittfeldt im Zeitraum September 2024 bis März 2025 (Zeitraum der Überweisungen) </w:t>
      </w:r>
      <w:r>
        <w:rPr>
          <w:b/>
        </w:rPr>
        <w:t>geschäftsfähig</w:t>
      </w:r>
      <w:r>
        <w:t xml:space="preserve"> im Sinne der §§ 104 ff. BGB?</w:t>
      </w:r>
    </w:p>
    <w:p>
      <w:pPr>
        <w:pStyle w:val="ListNumber"/>
      </w:pPr>
      <w:r>
        <w:t xml:space="preserve">Lagen Anhaltspunkte für eine </w:t>
      </w:r>
      <w:r>
        <w:rPr>
          <w:b/>
        </w:rPr>
        <w:t>eingeschränkte Einsichtsfähigkeit</w:t>
      </w:r>
      <w:r>
        <w:t xml:space="preserve"> oder eine kognitive Vulnerabilität vor, die von den Tätern ausgenutzt worden sein könnte?</w:t>
      </w:r>
    </w:p>
    <w:p>
      <w:pPr>
        <w:pStyle w:val="ListNumber"/>
      </w:pPr>
      <w:r>
        <w:t xml:space="preserve">Ist Frau Wittfeldt derzeit in der Lage, ihre </w:t>
      </w:r>
      <w:r>
        <w:rPr>
          <w:b/>
        </w:rPr>
        <w:t>Prozessführung</w:t>
      </w:r>
      <w:r>
        <w:t xml:space="preserve"> eigenverantwortlich zu steuern?</w:t>
      </w:r>
    </w:p>
    <w:p>
      <w:pPr>
        <w:pStyle w:val="ListNumber"/>
      </w:pPr>
      <w:r>
        <w:t>Welche therapeutischen Maßnahmen sind angezeigt?</w:t>
      </w:r>
    </w:p>
    <w:p/>
    <w:p>
      <w:pPr>
        <w:pStyle w:val="Heading2"/>
      </w:pPr>
      <w:r>
        <w:rPr>
          <w:rFonts w:ascii="Times New Roman" w:hAnsi="Times New Roman"/>
        </w:rPr>
        <w:t>II. Untersuchungsmethodik</w:t>
      </w:r>
    </w:p>
    <w:p>
      <w:pPr>
        <w:pStyle w:val="ListBullet"/>
      </w:pPr>
      <w:r>
        <w:t>Psychiatrisches Explorationsgespräch (180 Minuten)</w:t>
      </w:r>
    </w:p>
    <w:p>
      <w:pPr>
        <w:pStyle w:val="ListBullet"/>
      </w:pPr>
      <w:r>
        <w:t>Neuropsychologische Testung: MMSE (Mini-Mental-State-Examination), MoCA (Montreal Cognitive Assessment), DemTect</w:t>
      </w:r>
    </w:p>
    <w:p>
      <w:pPr>
        <w:pStyle w:val="ListBullet"/>
      </w:pPr>
      <w:r>
        <w:t>Persönlichkeitsanamnese, Sozial- und Berufsanamnese</w:t>
      </w:r>
    </w:p>
    <w:p>
      <w:pPr>
        <w:pStyle w:val="ListBullet"/>
      </w:pPr>
      <w:r>
        <w:t>Sichtung der Akten (Kanzleinotiz Erstgespräch, E-Mail-Kommunikation mit CryptoFutureMax, Kontoauszüge)</w:t>
      </w:r>
    </w:p>
    <w:p/>
    <w:p>
      <w:pPr>
        <w:pStyle w:val="Heading2"/>
      </w:pPr>
      <w:r>
        <w:rPr>
          <w:rFonts w:ascii="Times New Roman" w:hAnsi="Times New Roman"/>
        </w:rPr>
        <w:t>III. Biographische Anamnese</w:t>
      </w:r>
    </w:p>
    <w:p>
      <w:pPr>
        <w:jc w:val="left"/>
      </w:pPr>
      <w:r>
        <w:t>Eva-Maria Wittfeldt, geboren 14.03.1962 in Bremen, diplomierte Ingenieurin (Schiffbau, Universität Hamburg, Abschluss 1987). Sie arbeitete bis 2002 als Konstruktionsingenieurin bei der Vulkan-Werft in Bremen-Vegesack. Die Schließung der Werft 2002 bedeutete nicht nur den Verlust des Arbeitsplatzes, sondern auch den Verlust des sozialen Netzwerks und der beruflichen Identität. Nach einer Phase von ARGE-Leistungen und Depression wurde 2008 Erwerbsminderungsrente bewilligt.</w:t>
      </w:r>
    </w:p>
    <w:p>
      <w:pPr>
        <w:jc w:val="left"/>
      </w:pPr>
      <w:r>
        <w:t>Frau Wittfeldt lebt seit dem Tod ihres Mannes Rolf Wittfeldt (2019) allein in der Eigentumswohnung in Vegesack. Ihr Sohn Daniel hat regelmäßigen, aber nicht täglichen Kontakt. Sie beschreibt die Zeit seit der Werftschließung als „inneres Schrumpfen"; sie habe das Gefühl, keine sinnvolle gesellschaftliche Rolle mehr zu spielen.</w:t>
      </w:r>
    </w:p>
    <w:p>
      <w:pPr>
        <w:jc w:val="left"/>
      </w:pPr>
      <w:r>
        <w:rPr>
          <w:b/>
        </w:rPr>
        <w:t>Psychologisch relevante Vorbelastungen:</w:t>
      </w:r>
    </w:p>
    <w:p>
      <w:pPr>
        <w:pStyle w:val="ListBullet"/>
      </w:pPr>
      <w:r>
        <w:t>Mittelgradige depressive Episode (2002–2007, medikamentös und therapeutisch behandelt; aktuell keine Medikation).</w:t>
      </w:r>
    </w:p>
    <w:p>
      <w:pPr>
        <w:pStyle w:val="ListBullet"/>
      </w:pPr>
      <w:r>
        <w:t>Geringes Selbstwertgefühl, Bedürfnis nach Anerkennung und sozialer Einbindung.</w:t>
      </w:r>
    </w:p>
    <w:p>
      <w:pPr>
        <w:pStyle w:val="ListBullet"/>
      </w:pPr>
      <w:r>
        <w:t>Einsamkeit nach Tod des Ehemannes.</w:t>
      </w:r>
    </w:p>
    <w:p/>
    <w:p>
      <w:pPr>
        <w:pStyle w:val="Heading2"/>
      </w:pPr>
      <w:r>
        <w:rPr>
          <w:rFonts w:ascii="Times New Roman" w:hAnsi="Times New Roman"/>
        </w:rPr>
        <w:t>IV. Befundbeschreibung zum Tatzeitraum</w:t>
      </w:r>
    </w:p>
    <w:p>
      <w:pPr>
        <w:pStyle w:val="Heading3"/>
      </w:pPr>
      <w:r>
        <w:rPr>
          <w:rFonts w:ascii="Times New Roman" w:hAnsi="Times New Roman"/>
        </w:rPr>
        <w:t>Kognitive Funktionen</w:t>
      </w:r>
    </w:p>
    <w:p>
      <w:pPr>
        <w:jc w:val="left"/>
      </w:pPr>
      <w:r>
        <w:rPr>
          <w:b/>
        </w:rPr>
        <w:t>MMSE:</w:t>
      </w:r>
      <w:r>
        <w:t xml:space="preserve"> 27/30 (Grenzbereich; keine manifeste Demenz, jedoch leichte kognitive Beeinträchtigung möglich).</w:t>
      </w:r>
    </w:p>
    <w:p>
      <w:pPr>
        <w:jc w:val="left"/>
      </w:pPr>
      <w:r>
        <w:rPr>
          <w:b/>
        </w:rPr>
        <w:t>MoCA:</w:t>
      </w:r>
      <w:r>
        <w:t xml:space="preserve"> 24/30 (leichter kognitiver Abbau, insbesondere in den Bereichen Aufmerksamkeit und exekutive Funktionen).</w:t>
      </w:r>
    </w:p>
    <w:p>
      <w:pPr>
        <w:jc w:val="left"/>
      </w:pPr>
      <w:r>
        <w:rPr>
          <w:b/>
        </w:rPr>
        <w:t>DemTect:</w:t>
      </w:r>
      <w:r>
        <w:t xml:space="preserve"> 13 Punkte (Grenzbereich, nicht demenziell, aber erhöhte Vulnerabilität für Manipulationsstrategien).</w:t>
      </w:r>
    </w:p>
    <w:p>
      <w:pPr>
        <w:jc w:val="left"/>
      </w:pPr>
      <w:r>
        <w:rPr>
          <w:b/>
        </w:rPr>
        <w:t>Interpretation:</w:t>
      </w:r>
      <w:r>
        <w:t xml:space="preserve"> Frau Wittfeldt ist nicht demenzkrank und war im Tatzeitraum nicht im juristischen Sinne geschäftsunfähig (§ 104 BGB). Ihre intellektuellen Grundfähigkeiten sind erhalten. Jedoch weisen die Testergebnisse auf eine </w:t>
      </w:r>
      <w:r>
        <w:rPr>
          <w:b/>
        </w:rPr>
        <w:t>altersbedingte Abnahme der exekutiven Funktionen</w:t>
      </w:r>
      <w:r>
        <w:t xml:space="preserve"> hin, die das kritische Hinterfragen von Informationen und das Erkennen manipulativer Kommunikationsmuster erschwert.</w:t>
      </w:r>
    </w:p>
    <w:p>
      <w:pPr>
        <w:pStyle w:val="Heading3"/>
      </w:pPr>
      <w:r>
        <w:rPr>
          <w:rFonts w:ascii="Times New Roman" w:hAnsi="Times New Roman"/>
        </w:rPr>
        <w:t>Emotionale und soziale Vulnerabilität</w:t>
      </w:r>
    </w:p>
    <w:p>
      <w:pPr>
        <w:jc w:val="left"/>
      </w:pPr>
      <w:r>
        <w:t>Im Explorationsgespräch beschreibt Frau Wittfeldt das Verhältnis zu „Robert Volkmann" als das erste wirklich persönliche Gespräch seit dem Tod ihres Mannes. Volkmann habe sie täglich angerufen, nach ihrer Gesundheit gefragt, Witze gemacht. Sie habe geglaubt, er sei ein Freund.</w:t>
      </w:r>
    </w:p>
    <w:p>
      <w:pPr>
        <w:jc w:val="left"/>
      </w:pPr>
      <w:r>
        <w:t xml:space="preserve">Diese Beschreibung ist psychiatrisch hochrelevant: Die Täter haben eine klassische </w:t>
      </w:r>
      <w:r>
        <w:rPr>
          <w:b/>
        </w:rPr>
        <w:t>Social-Engineering-Strategie</w:t>
      </w:r>
      <w:r>
        <w:t xml:space="preserve"> eingesetzt, die gezielt auf die emotionale Einsamkeit und das Anerkennungsbedürfnis der Geschädigten abzielte. Bei Menschen mit dem beschriebenen Profil (eingeschränkte soziale Einbindung, leichter kognitiver Abbau, depressive Grundstimmung) ist diese Strategie besonders wirksam.</w:t>
      </w:r>
    </w:p>
    <w:p>
      <w:pPr>
        <w:jc w:val="left"/>
      </w:pPr>
      <w:r>
        <w:rPr>
          <w:b/>
        </w:rPr>
        <w:t>Einsichtsfähigkeit:</w:t>
      </w:r>
      <w:r>
        <w:t xml:space="preserve"> Frau Wittfeldt war zum Tatzeitraum </w:t>
      </w:r>
      <w:r>
        <w:rPr>
          <w:b/>
        </w:rPr>
        <w:t>formal einsichtsfähig</w:t>
      </w:r>
      <w:r>
        <w:t xml:space="preserve"> (§§ 104 ff. BGB: keine krankhafte Störung der Geistestätigkeit). Sie erkannte jedoch die Manipulationssituation nicht, da ihre kognitive und emotionale Vulnerabilität die Täuschungsresistenz erheblich reduzierte. Dies ist für die strafrechtliche Bewertung (Ausnutzung einer Zwangslage / besonderer Schutzbedürftigkeit, § 177 Abs. 1 Nr. 3 StGB analog, § 263 Abs. 3 StGB Qualifikationsmerkmal) und die zivilrechtliche Wertung relevant.</w:t>
      </w:r>
    </w:p>
    <w:p/>
    <w:p>
      <w:pPr>
        <w:pStyle w:val="Heading2"/>
      </w:pPr>
      <w:r>
        <w:rPr>
          <w:rFonts w:ascii="Times New Roman" w:hAnsi="Times New Roman"/>
        </w:rPr>
        <w:t>V. Aktuelle psychische Situation</w:t>
      </w:r>
    </w:p>
    <w:p>
      <w:pPr>
        <w:jc w:val="left"/>
      </w:pPr>
      <w:r>
        <w:t xml:space="preserve">Frau Wittfeldt leidet aktuell unter einer </w:t>
      </w:r>
      <w:r>
        <w:rPr>
          <w:b/>
        </w:rPr>
        <w:t>mittelgradigen depressiven Episode</w:t>
      </w:r>
      <w:r>
        <w:t xml:space="preserve"> (ICD-10: F32.1) mit Schlafstörungen, Rückzugsverhalten, Schuldgefühlen und Schamreaktionen. Sie macht sich selbst schwere Vorwürfe und spricht von „Dummheit". Sie hat keine Suizidgedanken.</w:t>
      </w:r>
    </w:p>
    <w:p>
      <w:pPr>
        <w:jc w:val="left"/>
      </w:pPr>
      <w:r>
        <w:rPr>
          <w:b/>
        </w:rPr>
        <w:t>Empfohlene Maßnahmen:</w:t>
      </w:r>
    </w:p>
    <w:p>
      <w:pPr>
        <w:pStyle w:val="ListNumber"/>
      </w:pPr>
      <w:r>
        <w:t>Psychotherapeutische Behandlung (kognitive Verhaltenstherapie), ca. 25 Sitzungen.</w:t>
      </w:r>
    </w:p>
    <w:p>
      <w:pPr>
        <w:pStyle w:val="ListNumber"/>
      </w:pPr>
      <w:r>
        <w:t>Ggf. medikamentöse Unterstützung durch niedergelassene Psychiaterin (Überweisung erfolgt).</w:t>
      </w:r>
    </w:p>
    <w:p>
      <w:pPr>
        <w:pStyle w:val="ListNumber"/>
      </w:pPr>
      <w:r>
        <w:t>Angehörigenberatung (Daniel Wittfeldt sollte in die Unterstützung eingebunden werden).</w:t>
      </w:r>
    </w:p>
    <w:p>
      <w:pPr>
        <w:pStyle w:val="ListNumber"/>
      </w:pPr>
      <w:r>
        <w:t>Soziale Reintegration (Selbsthilfegruppe für Betrugsopfer; Kontakt über Verbraucherzentrale).</w:t>
      </w:r>
    </w:p>
    <w:p/>
    <w:p>
      <w:pPr>
        <w:pStyle w:val="Heading2"/>
      </w:pPr>
      <w:r>
        <w:rPr>
          <w:rFonts w:ascii="Times New Roman" w:hAnsi="Times New Roman"/>
        </w:rPr>
        <w:t>VI. Beantwortung der Gutachtenfragen</w:t>
      </w:r>
    </w:p>
    <w:p>
      <w:pPr>
        <w:pStyle w:val="ListNumber"/>
      </w:pPr>
      <w:r>
        <w:rPr>
          <w:b/>
        </w:rPr>
        <w:t>Geschäftsfähigkeit:</w:t>
      </w:r>
      <w:r>
        <w:t xml:space="preserve"> Frau Wittfeldt war im Tatzeitraum formal geschäftsfähig. Eine Nichtigkeit der Überweisungsaufträge nach § 105 BGB scheidet aus.</w:t>
      </w:r>
    </w:p>
    <w:p>
      <w:pPr>
        <w:pStyle w:val="ListNumber"/>
      </w:pPr>
      <w:r>
        <w:rPr>
          <w:b/>
        </w:rPr>
        <w:t>Kognitive Vulnerabilität:</w:t>
      </w:r>
      <w:r>
        <w:t xml:space="preserve"> Es bestand eine erhöhte emotionale und kognitive Vulnerabilität, die die Täter durch eine gezielte Social-Engineering-Strategie ausnutzten. Dies ist für die strafrechtliche Qualifikation (Ausnutzung der Schwäche) und die zivilrechtliche Zumutbarkeitsbewertung relevant.</w:t>
      </w:r>
    </w:p>
    <w:p>
      <w:pPr>
        <w:pStyle w:val="ListNumber"/>
      </w:pPr>
      <w:r>
        <w:rPr>
          <w:b/>
        </w:rPr>
        <w:t>Prozessfähigkeit:</w:t>
      </w:r>
      <w:r>
        <w:t xml:space="preserve"> Frau Wittfeldt ist derzeit in der Lage, ihre Interessen mit anwaltlicher Unterstützung wahrzunehmen. Eine Betreuung nach § 1896 BGB ist nicht angezeigt.</w:t>
      </w:r>
    </w:p>
    <w:p>
      <w:pPr>
        <w:pStyle w:val="ListNumber"/>
      </w:pPr>
      <w:r>
        <w:rPr>
          <w:b/>
        </w:rPr>
        <w:t>Therapeutische Maßnahmen:</w:t>
      </w:r>
      <w:r>
        <w:t xml:space="preserve"> Psychotherapie und ärztliche Begleitung werden empfohlen.</w:t>
      </w:r>
    </w:p>
    <w:p/>
    <w:p>
      <w:pPr>
        <w:jc w:val="left"/>
      </w:pPr>
      <w:r>
        <w:rPr>
          <w:b/>
        </w:rPr>
        <w:t>Bremen, 28. April 2026</w:t>
      </w:r>
    </w:p>
    <w:p>
      <w:pPr>
        <w:jc w:val="left"/>
      </w:pPr>
      <w:r>
        <w:t>Dr. med. Ulrike Sternberg</w:t>
      </w:r>
    </w:p>
    <w:p>
      <w:pPr>
        <w:jc w:val="left"/>
      </w:pPr>
      <w:r>
        <w:t>Fachärztin für Psychiatrie und Psychotherapie</w:t>
      </w:r>
    </w:p>
    <w:p>
      <w:pPr>
        <w:jc w:val="left"/>
      </w:pPr>
      <w:r>
        <w:rPr>
          <w:i/>
        </w:rPr>
        <w:t>(Unterschrift)</w:t>
      </w:r>
    </w:p>
    <w:p/>
    <w:p>
      <w:pPr>
        <w:jc w:val="left"/>
      </w:pPr>
      <w:r>
        <w:rPr>
          <w:i/>
        </w:rPr>
        <w:t>Dieses Gutachten ist vertraulich und nur für den Mandatsgebrauch bestimmt.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