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Kostenrisikoanalyse – Klagen Wittfeldt ./. Sparkasse und Empfängerbanken</w:t>
      </w:r>
    </w:p>
    <w:p>
      <w:pPr>
        <w:jc w:val="left"/>
      </w:pPr>
      <w:r>
        <w:rPr>
          <w:b/>
        </w:rPr>
        <w:t>Aktenzeichen:</w:t>
      </w:r>
      <w:r>
        <w:t xml:space="preserve"> PS-BKR-2026-0412</w:t>
      </w:r>
    </w:p>
    <w:p>
      <w:pPr>
        <w:jc w:val="left"/>
      </w:pPr>
      <w:r>
        <w:rPr>
          <w:b/>
        </w:rPr>
        <w:t>Verfasser:</w:t>
      </w:r>
      <w:r>
        <w:t xml:space="preserve"> Dr. Severin Pflüger</w:t>
      </w:r>
    </w:p>
    <w:p>
      <w:pPr>
        <w:jc w:val="left"/>
      </w:pPr>
      <w:r>
        <w:rPr>
          <w:b/>
        </w:rPr>
        <w:t>Datum:</w:t>
      </w:r>
      <w:r>
        <w:t xml:space="preserve"> 29.04.2026</w:t>
      </w:r>
    </w:p>
    <w:p/>
    <w:p>
      <w:pPr>
        <w:pStyle w:val="Heading2"/>
      </w:pPr>
      <w:r>
        <w:rPr>
          <w:rFonts w:ascii="Times New Roman" w:hAnsi="Times New Roman"/>
        </w:rPr>
        <w:t>I. Überblick der geplanten Verfahren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Gericht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Streitwert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 ./. Sparkasse Bremen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LG Bremen, 4 O 215/26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153.518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Entwurf; Einreichung nach 12.05.2026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Schufa-Löschung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 Bremen-Blumenthal, 15 C 124/26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7.138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Eingereicht 21.04.2026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 ./. Trustless Banking S.A.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LG Frankfurt (geplant)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140.420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Entwurf; EAPO vorbereitet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Strafverfahren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Polizei/StA Bremen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Laufend (AZ: ZD 3001 UJs 8841/26)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BaFin-Anzeige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BaFin Frankfurt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Laufend (14.04.2026)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II. Klage ./. Sparkasse Bremen (LG Bremen, 4 O 215/26)</w:t>
      </w:r>
    </w:p>
    <w:p>
      <w:pPr>
        <w:pStyle w:val="Heading3"/>
      </w:pPr>
      <w:r>
        <w:rPr>
          <w:rFonts w:ascii="Times New Roman" w:hAnsi="Times New Roman"/>
        </w:rPr>
        <w:t>Gerichtskosten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Instanz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Streitwert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Gebührensatz (GKG)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Gerichtskosten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Erste Instanz (LG)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153.518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3,0 (Nr. 1210 KV GKG)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3.870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Berufung (OLG)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153.518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4,0 (Nr. 1220 KV GKG)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5.160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Revision (BGH)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153.518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5,0 (Nr. 1230 KV GKG)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6.450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Anwaltskosten (RVG, zzgl. MwSt.)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Klägerin (Dr. Pflüger)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Beklagte (Sparkasse)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1,3-Verfahrensgebühr (Nr. 3100 RVG)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2.820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2.820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1,2-Terminsgebühr (Nr. 3104 RVG)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2.604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2.604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Einigungsgebühr (falls Vergleich)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2.820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2.820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Gesamt Klägerin (ohne MwSt.)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5.424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Gesamt beide Seiten (1. Instanz)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10.848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Kostenrisiko bei Verlust</w:t>
      </w:r>
    </w:p>
    <w:p>
      <w:pPr>
        <w:jc w:val="left"/>
      </w:pPr>
      <w:r>
        <w:t xml:space="preserve">Bei vollständigem Unterliegen der Klägerin trägt diese die gesamten Kosten beider Seiten: ca. </w:t>
      </w:r>
      <w:r>
        <w:rPr>
          <w:b/>
        </w:rPr>
        <w:t>14.718 EUR</w:t>
      </w:r>
      <w:r>
        <w:t xml:space="preserve"> (1. Instanz: Gerichtskosten 3.870 EUR + gegnerische Anwaltskosten ca. 6.406 EUR inkl. MwSt. + eigene Anwaltskosten ca. 6.454 EUR inkl. MwSt.).</w:t>
      </w:r>
    </w:p>
    <w:p>
      <w:pPr>
        <w:pStyle w:val="Heading3"/>
      </w:pPr>
      <w:r>
        <w:rPr>
          <w:rFonts w:ascii="Times New Roman" w:hAnsi="Times New Roman"/>
        </w:rPr>
        <w:t>Prozesskostenhilfe (PKH)</w:t>
      </w:r>
    </w:p>
    <w:p>
      <w:pPr>
        <w:jc w:val="left"/>
      </w:pPr>
      <w:r>
        <w:t>Voraussetzungen für PKH (§ 114 ZPO):</w:t>
      </w:r>
    </w:p>
    <w:p>
      <w:pPr>
        <w:pStyle w:val="ListBullet"/>
      </w:pPr>
      <w:r>
        <w:t xml:space="preserve">Hinreichende Erfolgsaussichten: </w:t>
      </w:r>
      <w:r>
        <w:rPr>
          <w:b/>
        </w:rPr>
        <w:t>Ja</w:t>
      </w:r>
      <w:r>
        <w:t xml:space="preserve"> (nach vorliegender Analyse)</w:t>
      </w:r>
    </w:p>
    <w:p>
      <w:pPr>
        <w:pStyle w:val="ListBullet"/>
      </w:pPr>
      <w:r>
        <w:t xml:space="preserve">Bedürftigkeit: </w:t>
      </w:r>
      <w:r>
        <w:rPr>
          <w:b/>
        </w:rPr>
        <w:t>Ja</w:t>
      </w:r>
      <w:r>
        <w:t xml:space="preserve"> (EM-Rente 980 EUR/Monat, kein liquides Vermögen nach Betrugsschaden)</w:t>
      </w:r>
    </w:p>
    <w:p>
      <w:pPr>
        <w:jc w:val="left"/>
      </w:pPr>
      <w:r>
        <w:t>Bei Bewilligung der PKH entfallen Gerichtskostenvorschuss und eigene Anwaltskosten für Klägerin.</w:t>
      </w:r>
    </w:p>
    <w:p>
      <w:pPr>
        <w:jc w:val="left"/>
      </w:pPr>
      <w:r>
        <w:rPr>
          <w:b/>
        </w:rPr>
        <w:t>Empfehlung:</w:t>
      </w:r>
      <w:r>
        <w:t xml:space="preserve"> PKH-Antrag gleichzeitig mit Klageeinreichung stellen.</w:t>
      </w:r>
    </w:p>
    <w:p/>
    <w:p>
      <w:pPr>
        <w:pStyle w:val="Heading2"/>
      </w:pPr>
      <w:r>
        <w:rPr>
          <w:rFonts w:ascii="Times New Roman" w:hAnsi="Times New Roman"/>
        </w:rPr>
        <w:t>III. Schufa-Löschungsklage (AG Bremen-Blumenthal, 15 C 124/26)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Gerichtskosten (GKG 3,0, SW 7.138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360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Anwaltsgebühren Klägerin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860 EUR (netto)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Kostenrisiko bei Verlust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1.580 EUR</w:t>
            </w:r>
          </w:p>
        </w:tc>
      </w:tr>
    </w:tbl>
    <w:p>
      <w:pPr>
        <w:jc w:val="left"/>
      </w:pPr>
      <w:r>
        <w:rPr>
          <w:b/>
        </w:rPr>
        <w:t>Erfolgsaussicht:</w:t>
      </w:r>
      <w:r>
        <w:t xml:space="preserve"> Mittel bis hoch (Forderung streitig, fehlender Titel). BGH VI ZR 156/13 stützt Anspruch.</w:t>
      </w:r>
    </w:p>
    <w:p/>
    <w:p>
      <w:pPr>
        <w:pStyle w:val="Heading2"/>
      </w:pPr>
      <w:r>
        <w:rPr>
          <w:rFonts w:ascii="Times New Roman" w:hAnsi="Times New Roman"/>
        </w:rPr>
        <w:t>IV. Klage ./. Trustless Banking S.A. (LG Frankfurt, geplant)</w:t>
      </w:r>
    </w:p>
    <w:p>
      <w:pPr>
        <w:pStyle w:val="Heading3"/>
      </w:pPr>
      <w:r>
        <w:rPr>
          <w:rFonts w:ascii="Times New Roman" w:hAnsi="Times New Roman"/>
        </w:rPr>
        <w:t>Besondere Risiken bei internationalen Verfahren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Unbekannter Aufenthalt des Schuldners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Hoch: Trustless Banking S.A. könnte insolvenz sein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Zustellung im Ausland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Aufwendig; EU-Zustellungsverordnung anwendbar (VO (EU) 1393/2007)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Vollstreckung in Estland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Grundsätzlich möglich (Art. 53 EuGVVO: Vollstreckbarkeitsklausel)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Solvenz der Beklagten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Unbekannt; EAPO dient Sicherung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Bösgläubigkeit-Nachweis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Schwer; abhängig von Ermittlungsergebnissen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Kostenabschätzung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Gerichtskosten 1. Instanz (SW 140.420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3.608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Anwaltsgebühren (Dr. Pflüger)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5.200 EUR (netto)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Kosten estnische Korrespondenzanwältin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3.000–5.000 EUR (geschätzt)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Übersetzungskosten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800–1.200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Gesamtaufwand Klägerin 1. Instanz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12.000–15.000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Kostenrisiko bei Verlust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22.000–28.000 EUR</w:t>
            </w:r>
          </w:p>
        </w:tc>
      </w:tr>
    </w:tbl>
    <w:p>
      <w:pPr>
        <w:jc w:val="left"/>
      </w:pPr>
      <w:r>
        <w:rPr>
          <w:b/>
        </w:rPr>
        <w:t>Erfolgsaussicht:</w:t>
      </w:r>
      <w:r>
        <w:t xml:space="preserve"> Gering bis mittel (abhängig von Ermittlungsergebnissen zur Bösgläubigkeit).</w:t>
      </w:r>
    </w:p>
    <w:p>
      <w:pPr>
        <w:jc w:val="left"/>
      </w:pPr>
      <w:r>
        <w:rPr>
          <w:b/>
        </w:rPr>
        <w:t>Empfehlung:</w:t>
      </w:r>
      <w:r>
        <w:t xml:space="preserve"> Zunächst EAPO; Hauptklage nur nach positiver Einschätzung durch estnische Kollegin.</w:t>
      </w:r>
    </w:p>
    <w:p/>
    <w:p>
      <w:pPr>
        <w:pStyle w:val="Heading2"/>
      </w:pPr>
      <w:r>
        <w:rPr>
          <w:rFonts w:ascii="Times New Roman" w:hAnsi="Times New Roman"/>
        </w:rPr>
        <w:t>V. Gesamtkostenrisiko-Szenario</w:t>
      </w:r>
    </w:p>
    <w:p>
      <w:pPr>
        <w:pStyle w:val="Heading3"/>
      </w:pPr>
      <w:r>
        <w:rPr>
          <w:rFonts w:ascii="Times New Roman" w:hAnsi="Times New Roman"/>
        </w:rPr>
        <w:t>Szenario A: PKH bewilligt, LG Bremen und AG Bremen-Blumenthal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(Klägerin)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Gerichtskosten (nach PKH: 0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Eigene Anwaltskosten (nach PKH: 0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Kostenrisiko bei Verlust (gegnerische Anwaltskosten)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8.000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Szenario B: Ohne PKH, alle drei Verfahren, 1. Instanz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LG Bremen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12.000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AG Bremen-Blumenthal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1.580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LG Frankfurt (Estland)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15.000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28.580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Szenario C: Vergleich ./. Sparkasse (40 % von 75.000 EUR = 30.000 EUR)</w:t>
      </w:r>
    </w:p>
    <w:p>
      <w:pPr>
        <w:jc w:val="left"/>
      </w:pPr>
      <w:r>
        <w:t>Wenn Sparkasse einen Vergleich über 30.000 EUR anbietet:</w:t>
      </w:r>
    </w:p>
    <w:p>
      <w:pPr>
        <w:pStyle w:val="ListBullet"/>
      </w:pPr>
      <w:r>
        <w:t>Nettovorteil für Mandantin: 30.000 EUR - Anwaltskosten (ca. 8.000 EUR mit Einigungsgebühr) = ca. 22.000 EUR</w:t>
      </w:r>
    </w:p>
    <w:p>
      <w:pPr>
        <w:pStyle w:val="ListBullet"/>
      </w:pPr>
      <w:r>
        <w:t>Dies ist realistischer als ein Vollurteil und sollte ggf. angenommen werden.</w:t>
      </w:r>
    </w:p>
    <w:p/>
    <w:p>
      <w:pPr>
        <w:pStyle w:val="Heading2"/>
      </w:pPr>
      <w:r>
        <w:rPr>
          <w:rFonts w:ascii="Times New Roman" w:hAnsi="Times New Roman"/>
        </w:rPr>
        <w:t>VI. Empfehlung</w:t>
      </w:r>
    </w:p>
    <w:p>
      <w:pPr>
        <w:pStyle w:val="ListNumber"/>
      </w:pPr>
      <w:r>
        <w:rPr>
          <w:b/>
        </w:rPr>
        <w:t>PKH-Antrag</w:t>
      </w:r>
      <w:r>
        <w:t xml:space="preserve"> gleichzeitig mit LG-Bremen-Klage stellen.</w:t>
      </w:r>
    </w:p>
    <w:p>
      <w:pPr>
        <w:pStyle w:val="ListNumber"/>
      </w:pPr>
      <w:r>
        <w:rPr>
          <w:b/>
        </w:rPr>
        <w:t>LG Bremen</w:t>
      </w:r>
      <w:r>
        <w:t>: Klagerealistisch; Vorrang vor Estland-Klage.</w:t>
      </w:r>
    </w:p>
    <w:p>
      <w:pPr>
        <w:pStyle w:val="ListNumber"/>
      </w:pPr>
      <w:r>
        <w:rPr>
          <w:b/>
        </w:rPr>
        <w:t>AG Bremen-Blumenthal</w:t>
      </w:r>
      <w:r>
        <w:t xml:space="preserve"> (Schufa): Geringes Kostenrisiko, hohes Interesse.</w:t>
      </w:r>
    </w:p>
    <w:p>
      <w:pPr>
        <w:pStyle w:val="ListNumber"/>
      </w:pPr>
      <w:r>
        <w:rPr>
          <w:b/>
        </w:rPr>
        <w:t>Estland (Trustless Banking)</w:t>
      </w:r>
      <w:r>
        <w:t>: Erst nach Ermittlungsergebnissen und positiver Einschätzung der Korrespondenzanwältin starten.</w:t>
      </w:r>
    </w:p>
    <w:p>
      <w:pPr>
        <w:pStyle w:val="ListNumber"/>
      </w:pPr>
      <w:r>
        <w:rPr>
          <w:b/>
        </w:rPr>
        <w:t>Vergleich</w:t>
      </w:r>
      <w:r>
        <w:t>: Sparkasse-Vergleich ab 25.000 EUR Annahme empfehlen.</w:t>
      </w:r>
    </w:p>
    <w:p/>
    <w:p>
      <w:pPr>
        <w:jc w:val="left"/>
      </w:pPr>
      <w:r>
        <w:rPr>
          <w:i/>
        </w:rPr>
        <w:t>Erstellt: 29.04.2026 · Dr. S. Pflüger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