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Strategiememorandum – Dr. Severin Pflüger</w:t>
      </w:r>
    </w:p>
    <w:p>
      <w:pPr>
        <w:jc w:val="left"/>
      </w:pPr>
      <w:r>
        <w:rPr>
          <w:b/>
        </w:rPr>
        <w:t>Aktenzeichen:</w:t>
      </w:r>
      <w:r>
        <w:t xml:space="preserve"> PS-BKR-2026-0412</w:t>
      </w:r>
    </w:p>
    <w:p>
      <w:pPr>
        <w:jc w:val="left"/>
      </w:pPr>
      <w:r>
        <w:rPr>
          <w:b/>
        </w:rPr>
        <w:t>Verfasser:</w:t>
      </w:r>
      <w:r>
        <w:t xml:space="preserve"> Dr. Severin Pflüger, Fachanwalt für Bank- und Kapitalmarktrecht</w:t>
      </w:r>
    </w:p>
    <w:p>
      <w:pPr>
        <w:jc w:val="left"/>
      </w:pPr>
      <w:r>
        <w:rPr>
          <w:b/>
        </w:rPr>
        <w:t>Datum:</w:t>
      </w:r>
      <w:r>
        <w:t xml:space="preserve"> 30.04.2026 (intern, vertraulich)</w:t>
      </w:r>
    </w:p>
    <w:p/>
    <w:p>
      <w:pPr>
        <w:pStyle w:val="Heading2"/>
      </w:pPr>
      <w:r>
        <w:rPr>
          <w:rFonts w:ascii="Times New Roman" w:hAnsi="Times New Roman"/>
        </w:rPr>
        <w:t>I. Ausgangslage und Mandatsziel</w:t>
      </w:r>
    </w:p>
    <w:p>
      <w:pPr>
        <w:jc w:val="left"/>
      </w:pPr>
      <w:r>
        <w:t>Das Mandat Wittfeldt ist eines der umfangreichsten und rechtlich vielschichtigsten Bankrechtsmandate, die unsere Kanzlei derzeit führt. Der Sachverhalt kombiniert:</w:t>
      </w:r>
    </w:p>
    <w:p>
      <w:pPr>
        <w:pStyle w:val="ListNumber"/>
      </w:pPr>
      <w:r>
        <w:rPr>
          <w:b/>
        </w:rPr>
        <w:t>Cybertrading-Anlagebetrug</w:t>
      </w:r>
      <w:r>
        <w:t xml:space="preserve"> (§ 263 StGB) mit internationalem Geldfluss.</w:t>
      </w:r>
    </w:p>
    <w:p>
      <w:pPr>
        <w:pStyle w:val="ListNumber"/>
      </w:pPr>
      <w:r>
        <w:rPr>
          <w:b/>
        </w:rPr>
        <w:t>Bankenhaftung</w:t>
      </w:r>
      <w:r>
        <w:t xml:space="preserve"> (§§ 280, 241 Abs. 2 BGB; §§ 25h KWG, 43 GwG) wegen unterlassener Warnung.</w:t>
      </w:r>
    </w:p>
    <w:p>
      <w:pPr>
        <w:pStyle w:val="ListNumber"/>
      </w:pPr>
      <w:r>
        <w:rPr>
          <w:b/>
        </w:rPr>
        <w:t>Kreditrecht</w:t>
      </w:r>
      <w:r>
        <w:t xml:space="preserve"> (§ 490 BGB: Kündigung; §§ 242, 254 BGB: Treuwidrigkeit).</w:t>
      </w:r>
    </w:p>
    <w:p>
      <w:pPr>
        <w:pStyle w:val="ListNumber"/>
      </w:pPr>
      <w:r>
        <w:rPr>
          <w:b/>
        </w:rPr>
        <w:t>Datenschutzrecht</w:t>
      </w:r>
      <w:r>
        <w:t xml:space="preserve"> (DSGVO, BDSG: Schufa-Löschung).</w:t>
      </w:r>
    </w:p>
    <w:p>
      <w:pPr>
        <w:pStyle w:val="ListNumber"/>
      </w:pPr>
      <w:r>
        <w:rPr>
          <w:b/>
        </w:rPr>
        <w:t>EU-Finanzaufsichtsrecht</w:t>
      </w:r>
      <w:r>
        <w:t xml:space="preserve"> (MiCA, KWG: BaFin-Anzeige).</w:t>
      </w:r>
    </w:p>
    <w:p>
      <w:pPr>
        <w:pStyle w:val="ListNumber"/>
      </w:pPr>
      <w:r>
        <w:rPr>
          <w:b/>
        </w:rPr>
        <w:t>Internationales Privatrecht</w:t>
      </w:r>
      <w:r>
        <w:t xml:space="preserve"> (EAPO, EuGVVO: Klage gegen Empfängerbanken).</w:t>
      </w:r>
    </w:p>
    <w:p>
      <w:pPr>
        <w:jc w:val="left"/>
      </w:pPr>
      <w:r>
        <w:t>Das Mandatsziel ist klar: maximale Schadenswiedergutmachung für Frau Eva-Maria Wittfeldt unter Berücksichtigung der realistischen Erfolgsaussichten und der finanziellen Lage der Mandantin.</w:t>
      </w:r>
    </w:p>
    <w:p/>
    <w:p>
      <w:pPr>
        <w:pStyle w:val="Heading2"/>
      </w:pPr>
      <w:r>
        <w:rPr>
          <w:rFonts w:ascii="Times New Roman" w:hAnsi="Times New Roman"/>
        </w:rPr>
        <w:t>II. Stärken und Schwächen der Rechtslage</w:t>
      </w:r>
    </w:p>
    <w:p>
      <w:pPr>
        <w:pStyle w:val="Heading3"/>
      </w:pPr>
      <w:r>
        <w:rPr>
          <w:rFonts w:ascii="Times New Roman" w:hAnsi="Times New Roman"/>
        </w:rPr>
        <w:t>Stärken</w:t>
      </w:r>
    </w:p>
    <w:p>
      <w:pPr>
        <w:pStyle w:val="ListNumber"/>
      </w:pPr>
      <w:r>
        <w:rPr>
          <w:b/>
        </w:rPr>
        <w:t>Dokumentation ist gut:</w:t>
      </w:r>
      <w:r>
        <w:t xml:space="preserve"> Sieben Kontoauszüge mit exakten Beträgen, Daten und Empfänger-IBANs; E-Mail-Header mit PHP-Backend-Nachweis; WhatsApp-Screenshots; WHOIS-Daten. Dies ist eine überdurchschnittlich gute Beweislage für einen Cybertrading-Fall.</w:t>
      </w:r>
    </w:p>
    <w:p>
      <w:pPr>
        <w:pStyle w:val="ListNumber"/>
      </w:pPr>
      <w:r>
        <w:rPr>
          <w:b/>
        </w:rPr>
        <w:t>Darlehensverknüpfung:</w:t>
      </w:r>
      <w:r>
        <w:t xml:space="preserve"> Die unmittelbare zeitliche Verbindung zwischen Darlehensauszahlung (22.01.2025) und Auslandsüberweisung (24.01.2025) ist der stärkste Einzelbeweis für die Verletzung der Warnpflicht der Sparkasse. Dass die Sparkasse dasselbe Konto für Darlehensauszahlung und Überweisung nutzte, macht die Kenntnis des Transaktionsproblems nahezu unausweichlich.</w:t>
      </w:r>
    </w:p>
    <w:p>
      <w:pPr>
        <w:pStyle w:val="ListNumber"/>
      </w:pPr>
      <w:r>
        <w:rPr>
          <w:b/>
        </w:rPr>
        <w:t>Psychiatrisches Gutachten:</w:t>
      </w:r>
      <w:r>
        <w:t xml:space="preserve"> Dr. Sternbergs Gutachten belegt die besondere Vulnerabilität der Mandantin – dies stärkt die Mitverschuldensabwehr und kann die Haftungsquote der Sparkasse erhöhen.</w:t>
      </w:r>
    </w:p>
    <w:p>
      <w:pPr>
        <w:pStyle w:val="ListNumber"/>
      </w:pPr>
      <w:r>
        <w:rPr>
          <w:b/>
        </w:rPr>
        <w:t>Strafanzeige läuft:</w:t>
      </w:r>
      <w:r>
        <w:t xml:space="preserve"> Das Ermittlungsverfahren kann zu Beweisergebnissen führen (Kontosperrung, Beschlagnahme), die unsere Zivilklage unterstützen.</w:t>
      </w:r>
    </w:p>
    <w:p>
      <w:pPr>
        <w:pStyle w:val="ListNumber"/>
      </w:pPr>
      <w:r>
        <w:rPr>
          <w:b/>
        </w:rPr>
        <w:t>MiCA/BaFin:</w:t>
      </w:r>
      <w:r>
        <w:t xml:space="preserve"> Die BaFin-Anzeige zieht behördliche Aufmerksamkeit auf CryptoFutureMax.io; eine öffentliche Warnung der BaFin kann die öffentliche Glaubwürdigkeit der Klage stärken und im Vergleichsgespräch mit der Sparkasse helfen.</w:t>
      </w:r>
    </w:p>
    <w:p>
      <w:pPr>
        <w:pStyle w:val="Heading3"/>
      </w:pPr>
      <w:r>
        <w:rPr>
          <w:rFonts w:ascii="Times New Roman" w:hAnsi="Times New Roman"/>
        </w:rPr>
        <w:t>Schwächen</w:t>
      </w:r>
    </w:p>
    <w:p>
      <w:pPr>
        <w:pStyle w:val="ListNumber"/>
      </w:pPr>
      <w:r>
        <w:rPr>
          <w:b/>
        </w:rPr>
        <w:t>Autorisierung:</w:t>
      </w:r>
      <w:r>
        <w:t xml:space="preserve"> Frau Wittfeldt hat alle Überweisungen selbst veranlasst. § 675u BGB greift nicht direkt. Die Haftung der Sparkasse muss über § 280 BGB / § 241 Abs. 2 BGB konstruiert werden – eine anspruchsvolle Argumentationslinie.</w:t>
      </w:r>
    </w:p>
    <w:p>
      <w:pPr>
        <w:pStyle w:val="ListNumber"/>
      </w:pPr>
      <w:r>
        <w:rPr>
          <w:b/>
        </w:rPr>
        <w:t>Mitverschulden (§ 254 BGB):</w:t>
      </w:r>
      <w:r>
        <w:t xml:space="preserve"> Ein Gericht könnte das Mitverschulden der Mandantin auf 40–60 % schätzen (sie hätte skeptischer sein können, den Sohn früher einbeziehen können). Das reduziert den Schadensersatzanspruch erheblich.</w:t>
      </w:r>
    </w:p>
    <w:p>
      <w:pPr>
        <w:pStyle w:val="ListNumber"/>
      </w:pPr>
      <w:r>
        <w:rPr>
          <w:b/>
        </w:rPr>
        <w:t>Auslandsforderungen:</w:t>
      </w:r>
      <w:r>
        <w:t xml:space="preserve"> Gegen ZA Bank (Hongkong) und Cyprus Popular Bank (insolvent) sind kurzfristig keine Rückforderungen realistisch. Gegen Trustless Banking S.A. (Estland) besteht die EAPO-Option, aber Solvenz und Bösgläubigkeit sind unsicher.</w:t>
      </w:r>
    </w:p>
    <w:p>
      <w:pPr>
        <w:pStyle w:val="ListNumber"/>
      </w:pPr>
      <w:r>
        <w:rPr>
          <w:b/>
        </w:rPr>
        <w:t>Strafverfolgung:</w:t>
      </w:r>
      <w:r>
        <w:t xml:space="preserve"> „Robert Volkmann" ist ein Alias; bei transnationalen Cybercrime-Strukturen ist eine Verhaftung und Verurteilung oft erst nach mehreren Jahren möglich, wenn überhaupt.</w:t>
      </w:r>
    </w:p>
    <w:p>
      <w:pPr>
        <w:pStyle w:val="ListNumber"/>
      </w:pPr>
      <w:r>
        <w:rPr>
          <w:b/>
        </w:rPr>
        <w:t>PKH-Abhängigkeit:</w:t>
      </w:r>
      <w:r>
        <w:t xml:space="preserve"> Die Mandantin hat kein Prozessbudget. Scheitert die PKH, könnte das Verfahren ins Stocken geraten.</w:t>
      </w:r>
    </w:p>
    <w:p/>
    <w:p>
      <w:pPr>
        <w:pStyle w:val="Heading2"/>
      </w:pPr>
      <w:r>
        <w:rPr>
          <w:rFonts w:ascii="Times New Roman" w:hAnsi="Times New Roman"/>
        </w:rPr>
        <w:t>III. Strategischer Plan (Prioritäten)</w:t>
      </w:r>
    </w:p>
    <w:p>
      <w:pPr>
        <w:pStyle w:val="Heading3"/>
      </w:pPr>
      <w:r>
        <w:rPr>
          <w:rFonts w:ascii="Times New Roman" w:hAnsi="Times New Roman"/>
        </w:rPr>
        <w:t>Phase 1 (Mai 2026): Klärung Sparkasse</w:t>
      </w:r>
    </w:p>
    <w:p>
      <w:pPr>
        <w:pStyle w:val="ListBullet"/>
      </w:pPr>
      <w:r>
        <w:t>Ablauf der Fristsetzung (12.05.2026) abwarten.</w:t>
      </w:r>
    </w:p>
    <w:p>
      <w:pPr>
        <w:pStyle w:val="ListBullet"/>
      </w:pPr>
      <w:r>
        <w:t>Bei konstruktiver Reaktion: außergerichtliche Einigung anstreben; Vergleichsangebot ab 30.000 EUR prüfen.</w:t>
      </w:r>
    </w:p>
    <w:p>
      <w:pPr>
        <w:pStyle w:val="ListBullet"/>
      </w:pPr>
      <w:r>
        <w:t>Bei Abweisung: Klage LG Bremen + PKH-Antrag sofort einreichen.</w:t>
      </w:r>
    </w:p>
    <w:p>
      <w:pPr>
        <w:jc w:val="left"/>
      </w:pPr>
      <w:r>
        <w:rPr>
          <w:b/>
        </w:rPr>
        <w:t>Kernstrategie Sparkasse:</w:t>
      </w:r>
      <w:r>
        <w:t xml:space="preserve"> Fokus auf die Darlehensverknüpfung als stärkstes Argument; Stressbetrag 75.000 EUR (direkt aus Darlehen finanzierte Überweisungen). Feststellungsklage zur Unwirksamkeit der Kündigung als zweite Säule.</w:t>
      </w:r>
    </w:p>
    <w:p>
      <w:pPr>
        <w:pStyle w:val="Heading3"/>
      </w:pPr>
      <w:r>
        <w:rPr>
          <w:rFonts w:ascii="Times New Roman" w:hAnsi="Times New Roman"/>
        </w:rPr>
        <w:t>Phase 2 (Juni–September 2026): Strafverfahren nutzen</w:t>
      </w:r>
    </w:p>
    <w:p>
      <w:pPr>
        <w:pStyle w:val="ListBullet"/>
      </w:pPr>
      <w:r>
        <w:t>Akteneinsicht im Strafverfahren (§ 406e StPO) beantragen, sobald erste Ermittlungsergebnisse vorliegen.</w:t>
      </w:r>
    </w:p>
    <w:p>
      <w:pPr>
        <w:pStyle w:val="ListBullet"/>
      </w:pPr>
      <w:r>
        <w:t>Falls Konten bei Trustless Banking S.A. noch Mittel enthalten: EAPO-Antrag.</w:t>
      </w:r>
    </w:p>
    <w:p>
      <w:pPr>
        <w:pStyle w:val="ListBullet"/>
      </w:pPr>
      <w:r>
        <w:t>BaFin-Rückmeldung und ggf. öffentliche Warnung als Argument im Sparkassen-Verfahren nutzen.</w:t>
      </w:r>
    </w:p>
    <w:p>
      <w:pPr>
        <w:pStyle w:val="Heading3"/>
      </w:pPr>
      <w:r>
        <w:rPr>
          <w:rFonts w:ascii="Times New Roman" w:hAnsi="Times New Roman"/>
        </w:rPr>
        <w:t>Phase 3 (Ab Oktober 2026): Hauptverfahren</w:t>
      </w:r>
    </w:p>
    <w:p>
      <w:pPr>
        <w:pStyle w:val="ListBullet"/>
      </w:pPr>
      <w:r>
        <w:t>LG Bremen: Durchführung bis Urteil oder Vergleich.</w:t>
      </w:r>
    </w:p>
    <w:p>
      <w:pPr>
        <w:pStyle w:val="ListBullet"/>
      </w:pPr>
      <w:r>
        <w:t>AG Bremen-Blumenthal: Schufa-Urteil; sofern Sparkasse Kündigung zurücknimmt, wird Eintrag gegenstandslos.</w:t>
      </w:r>
    </w:p>
    <w:p>
      <w:pPr>
        <w:pStyle w:val="ListBullet"/>
      </w:pPr>
      <w:r>
        <w:t>LG Frankfurt / Estland: Entscheidung nach Ermittlungsergebnissen.</w:t>
      </w:r>
    </w:p>
    <w:p/>
    <w:p>
      <w:pPr>
        <w:pStyle w:val="Heading2"/>
      </w:pPr>
      <w:r>
        <w:rPr>
          <w:rFonts w:ascii="Times New Roman" w:hAnsi="Times New Roman"/>
        </w:rPr>
        <w:t>IV. Vergleichsstrategie</w:t>
      </w:r>
    </w:p>
    <w:p>
      <w:pPr>
        <w:jc w:val="left"/>
      </w:pPr>
      <w:r>
        <w:t>Sparkassen sind in Regel vergleichsbereit bei klarer Beweislage. Der Druck durch:</w:t>
      </w:r>
    </w:p>
    <w:p>
      <w:pPr>
        <w:pStyle w:val="ListBullet"/>
      </w:pPr>
      <w:r>
        <w:t>Laufendes Strafverfahren (Reputationsrisiko für Sparkasse)</w:t>
      </w:r>
    </w:p>
    <w:p>
      <w:pPr>
        <w:pStyle w:val="ListBullet"/>
      </w:pPr>
      <w:r>
        <w:t>BaFin-Anzeige / KWG-Pflichtverletzungsvorwurf</w:t>
      </w:r>
    </w:p>
    <w:p>
      <w:pPr>
        <w:pStyle w:val="ListBullet"/>
      </w:pPr>
      <w:r>
        <w:t>Medienpotenzial (ältere Frau, betrogen, Wohnung bedroht)</w:t>
      </w:r>
    </w:p>
    <w:p>
      <w:pPr>
        <w:jc w:val="left"/>
      </w:pPr>
      <w:r>
        <w:t>…ist erheblich. Realistisches Vergleichsziel: 40.000–55.000 EUR inkl. Rücknahme der Kreditkündigung und Schufa-Widerruf.</w:t>
      </w:r>
    </w:p>
    <w:p/>
    <w:p>
      <w:pPr>
        <w:pStyle w:val="Heading2"/>
      </w:pPr>
      <w:r>
        <w:rPr>
          <w:rFonts w:ascii="Times New Roman" w:hAnsi="Times New Roman"/>
        </w:rPr>
        <w:t>V. Ressourcenplanung</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Maßnahme</w:t>
            </w:r>
          </w:p>
        </w:tc>
        <w:tc>
          <w:tcPr>
            <w:tcW w:type="dxa" w:w="3024"/>
          </w:tcPr>
          <w:p>
            <w:r>
              <w:rPr>
                <w:rFonts w:ascii="Times New Roman" w:hAnsi="Times New Roman"/>
                <w:b/>
                <w:sz w:val="20"/>
              </w:rPr>
              <w:t>Geschätzter Zeitaufwand (h)</w:t>
            </w:r>
          </w:p>
        </w:tc>
        <w:tc>
          <w:tcPr>
            <w:tcW w:type="dxa" w:w="3024"/>
          </w:tcPr>
          <w:p>
            <w:r>
              <w:rPr>
                <w:rFonts w:ascii="Times New Roman" w:hAnsi="Times New Roman"/>
                <w:b/>
                <w:sz w:val="20"/>
              </w:rPr>
              <w:t>Priorität</w:t>
            </w:r>
          </w:p>
        </w:tc>
      </w:tr>
      <w:tr>
        <w:tc>
          <w:tcPr>
            <w:tcW w:type="dxa" w:w="3024"/>
          </w:tcPr>
          <w:p>
            <w:r>
              <w:rPr>
                <w:rFonts w:ascii="Times New Roman" w:hAnsi="Times New Roman"/>
                <w:sz w:val="20"/>
              </w:rPr>
              <w:t>Klageeinreichung LG Bremen (nach 12.05.)</w:t>
            </w:r>
          </w:p>
        </w:tc>
        <w:tc>
          <w:tcPr>
            <w:tcW w:type="dxa" w:w="3024"/>
          </w:tcPr>
          <w:p>
            <w:r>
              <w:rPr>
                <w:rFonts w:ascii="Times New Roman" w:hAnsi="Times New Roman"/>
                <w:sz w:val="20"/>
              </w:rPr>
              <w:t>8</w:t>
            </w:r>
          </w:p>
        </w:tc>
        <w:tc>
          <w:tcPr>
            <w:tcW w:type="dxa" w:w="3024"/>
          </w:tcPr>
          <w:p>
            <w:r>
              <w:rPr>
                <w:rFonts w:ascii="Times New Roman" w:hAnsi="Times New Roman"/>
                <w:sz w:val="20"/>
              </w:rPr>
              <w:t>Hoch</w:t>
            </w:r>
          </w:p>
        </w:tc>
      </w:tr>
      <w:tr>
        <w:tc>
          <w:tcPr>
            <w:tcW w:type="dxa" w:w="3024"/>
          </w:tcPr>
          <w:p>
            <w:r>
              <w:rPr>
                <w:rFonts w:ascii="Times New Roman" w:hAnsi="Times New Roman"/>
                <w:sz w:val="20"/>
              </w:rPr>
              <w:t>PKH-Antrag</w:t>
            </w:r>
          </w:p>
        </w:tc>
        <w:tc>
          <w:tcPr>
            <w:tcW w:type="dxa" w:w="3024"/>
          </w:tcPr>
          <w:p>
            <w:r>
              <w:rPr>
                <w:rFonts w:ascii="Times New Roman" w:hAnsi="Times New Roman"/>
                <w:sz w:val="20"/>
              </w:rPr>
              <w:t>3</w:t>
            </w:r>
          </w:p>
        </w:tc>
        <w:tc>
          <w:tcPr>
            <w:tcW w:type="dxa" w:w="3024"/>
          </w:tcPr>
          <w:p>
            <w:r>
              <w:rPr>
                <w:rFonts w:ascii="Times New Roman" w:hAnsi="Times New Roman"/>
                <w:sz w:val="20"/>
              </w:rPr>
              <w:t>Hoch</w:t>
            </w:r>
          </w:p>
        </w:tc>
      </w:tr>
      <w:tr>
        <w:tc>
          <w:tcPr>
            <w:tcW w:type="dxa" w:w="3024"/>
          </w:tcPr>
          <w:p>
            <w:r>
              <w:rPr>
                <w:rFonts w:ascii="Times New Roman" w:hAnsi="Times New Roman"/>
                <w:sz w:val="20"/>
              </w:rPr>
              <w:t>EAPO-Antrag</w:t>
            </w:r>
          </w:p>
        </w:tc>
        <w:tc>
          <w:tcPr>
            <w:tcW w:type="dxa" w:w="3024"/>
          </w:tcPr>
          <w:p>
            <w:r>
              <w:rPr>
                <w:rFonts w:ascii="Times New Roman" w:hAnsi="Times New Roman"/>
                <w:sz w:val="20"/>
              </w:rPr>
              <w:t>5</w:t>
            </w:r>
          </w:p>
        </w:tc>
        <w:tc>
          <w:tcPr>
            <w:tcW w:type="dxa" w:w="3024"/>
          </w:tcPr>
          <w:p>
            <w:r>
              <w:rPr>
                <w:rFonts w:ascii="Times New Roman" w:hAnsi="Times New Roman"/>
                <w:sz w:val="20"/>
              </w:rPr>
              <w:t>Mittel</w:t>
            </w:r>
          </w:p>
        </w:tc>
      </w:tr>
      <w:tr>
        <w:tc>
          <w:tcPr>
            <w:tcW w:type="dxa" w:w="3024"/>
          </w:tcPr>
          <w:p>
            <w:r>
              <w:rPr>
                <w:rFonts w:ascii="Times New Roman" w:hAnsi="Times New Roman"/>
                <w:sz w:val="20"/>
              </w:rPr>
              <w:t>Koordination estnische Anwältin</w:t>
            </w:r>
          </w:p>
        </w:tc>
        <w:tc>
          <w:tcPr>
            <w:tcW w:type="dxa" w:w="3024"/>
          </w:tcPr>
          <w:p>
            <w:r>
              <w:rPr>
                <w:rFonts w:ascii="Times New Roman" w:hAnsi="Times New Roman"/>
                <w:sz w:val="20"/>
              </w:rPr>
              <w:t>4</w:t>
            </w:r>
          </w:p>
        </w:tc>
        <w:tc>
          <w:tcPr>
            <w:tcW w:type="dxa" w:w="3024"/>
          </w:tcPr>
          <w:p>
            <w:r>
              <w:rPr>
                <w:rFonts w:ascii="Times New Roman" w:hAnsi="Times New Roman"/>
                <w:sz w:val="20"/>
              </w:rPr>
              <w:t>Mittel</w:t>
            </w:r>
          </w:p>
        </w:tc>
      </w:tr>
      <w:tr>
        <w:tc>
          <w:tcPr>
            <w:tcW w:type="dxa" w:w="3024"/>
          </w:tcPr>
          <w:p>
            <w:r>
              <w:rPr>
                <w:rFonts w:ascii="Times New Roman" w:hAnsi="Times New Roman"/>
                <w:sz w:val="20"/>
              </w:rPr>
              <w:t>Akteneinsicht Strafverfahren</w:t>
            </w:r>
          </w:p>
        </w:tc>
        <w:tc>
          <w:tcPr>
            <w:tcW w:type="dxa" w:w="3024"/>
          </w:tcPr>
          <w:p>
            <w:r>
              <w:rPr>
                <w:rFonts w:ascii="Times New Roman" w:hAnsi="Times New Roman"/>
                <w:sz w:val="20"/>
              </w:rPr>
              <w:t>4</w:t>
            </w:r>
          </w:p>
        </w:tc>
        <w:tc>
          <w:tcPr>
            <w:tcW w:type="dxa" w:w="3024"/>
          </w:tcPr>
          <w:p>
            <w:r>
              <w:rPr>
                <w:rFonts w:ascii="Times New Roman" w:hAnsi="Times New Roman"/>
                <w:sz w:val="20"/>
              </w:rPr>
              <w:t>Mittel</w:t>
            </w:r>
          </w:p>
        </w:tc>
      </w:tr>
      <w:tr>
        <w:tc>
          <w:tcPr>
            <w:tcW w:type="dxa" w:w="3024"/>
          </w:tcPr>
          <w:p>
            <w:r>
              <w:rPr>
                <w:rFonts w:ascii="Times New Roman" w:hAnsi="Times New Roman"/>
                <w:sz w:val="20"/>
              </w:rPr>
              <w:t>Vergleichsgespräch Sparkasse (falls anberaumt)</w:t>
            </w:r>
          </w:p>
        </w:tc>
        <w:tc>
          <w:tcPr>
            <w:tcW w:type="dxa" w:w="3024"/>
          </w:tcPr>
          <w:p>
            <w:r>
              <w:rPr>
                <w:rFonts w:ascii="Times New Roman" w:hAnsi="Times New Roman"/>
                <w:sz w:val="20"/>
              </w:rPr>
              <w:t>3</w:t>
            </w:r>
          </w:p>
        </w:tc>
        <w:tc>
          <w:tcPr>
            <w:tcW w:type="dxa" w:w="3024"/>
          </w:tcPr>
          <w:p>
            <w:r>
              <w:rPr>
                <w:rFonts w:ascii="Times New Roman" w:hAnsi="Times New Roman"/>
                <w:sz w:val="20"/>
              </w:rPr>
              <w:t>Hoch</w:t>
            </w:r>
          </w:p>
        </w:tc>
      </w:tr>
      <w:tr>
        <w:tc>
          <w:tcPr>
            <w:tcW w:type="dxa" w:w="3024"/>
          </w:tcPr>
          <w:p>
            <w:r>
              <w:rPr>
                <w:rFonts w:ascii="Times New Roman" w:hAnsi="Times New Roman"/>
                <w:sz w:val="20"/>
              </w:rPr>
              <w:t>AG Bremen-Blumenthal Termin</w:t>
            </w:r>
          </w:p>
        </w:tc>
        <w:tc>
          <w:tcPr>
            <w:tcW w:type="dxa" w:w="3024"/>
          </w:tcPr>
          <w:p>
            <w:r>
              <w:rPr>
                <w:rFonts w:ascii="Times New Roman" w:hAnsi="Times New Roman"/>
                <w:sz w:val="20"/>
              </w:rPr>
              <w:t>2</w:t>
            </w:r>
          </w:p>
        </w:tc>
        <w:tc>
          <w:tcPr>
            <w:tcW w:type="dxa" w:w="3024"/>
          </w:tcPr>
          <w:p>
            <w:r>
              <w:rPr>
                <w:rFonts w:ascii="Times New Roman" w:hAnsi="Times New Roman"/>
                <w:sz w:val="20"/>
              </w:rPr>
              <w:t>Mittel</w:t>
            </w:r>
          </w:p>
        </w:tc>
      </w:tr>
    </w:tbl>
    <w:p>
      <w:pPr>
        <w:jc w:val="left"/>
      </w:pPr>
      <w:r>
        <w:t>Gesamtschätzung bis Ende 2026: ca. 80–120 Stunden Dr. Pflüger + 20 Stunden H. Böckmann.</w:t>
      </w:r>
    </w:p>
    <w:p/>
    <w:p>
      <w:pPr>
        <w:pStyle w:val="Heading2"/>
      </w:pPr>
      <w:r>
        <w:rPr>
          <w:rFonts w:ascii="Times New Roman" w:hAnsi="Times New Roman"/>
        </w:rPr>
        <w:t>VI. Persönliche Notiz (Dr. Pflüger)</w:t>
      </w:r>
    </w:p>
    <w:p>
      <w:pPr>
        <w:jc w:val="left"/>
      </w:pPr>
      <w:r>
        <w:t>Dieser Fall ist exemplarisch für das, was wir in den nächsten Jahren immer häufiger sehen werden: ältere, sozial isolierte Menschen, die von professionellen Betrugsorganisationen gezielt über Social Media angesprochen werden. Die Rechtsschutzlücken im Bereich der Bankwarnpflicht sind real und sollten durch den Gesetzgeber geschlossen werden.</w:t>
      </w:r>
    </w:p>
    <w:p>
      <w:pPr>
        <w:jc w:val="left"/>
      </w:pPr>
      <w:r>
        <w:t>Ich werde diesen Fall nach Abschluss (mit Zustimmung der Mandantin, anonymisiert) für einen Aufsatz in der Zeitschrift für Bank- und Kapitalmarktrecht (ZBB) aufbereiten.</w:t>
      </w:r>
    </w:p>
    <w:p/>
    <w:p>
      <w:pPr>
        <w:jc w:val="left"/>
      </w:pPr>
      <w:r>
        <w:rPr>
          <w:i/>
        </w:rPr>
        <w:t>Intern/vertraulich – nur für Mandatsakte · 30.04.2026 · Dr. S. Pflüger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