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Archivium: automatisiertes Auslesen, Datenbankherstellerrecht und Plattform-Investition</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Eine kuratierte Datenbank wird systematisch ausgelesen; zugleich steht eine Finanzierungsrunde an, in der Datenbestand, Schutzrecht und technische Zugriffssperren bewertet werden.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UrhG §§ 87a ff.; §§ 69a ff. UrhG bei Softwarebestandteilen; GeschGehG; UWG; DSGVO; Vertragsrecht und AGB-Kontrolle.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