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RheinMain Maschinenbau AG, CloudSuite Inc., Datenschutzbeauftragte Dr. Kepler, Betriebsrat, Landesdatenschutzbehörde und externer SOC-Dienstleister.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US-Cloudvertrag soll verlängert werden, während Supportzugriffe, SCCs, DPF-Status, Betriebsrat und technische Zugriffskontrollen ungeklärt sind.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DSGVO Art. 5, 6, 28, 32, 44 ff.; SCC; EU-US Data Privacy Framework; Schrems-II-Folgen; TOMs und TIA.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