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TOMs und ergänzende Maßnahmen</w:t>
      </w:r>
    </w:p>
    <w:p>
      <w:pPr>
        <w:jc w:val="left"/>
      </w:pPr>
      <w:r>
        <w:t>Stand: 20.05.2026</w:t>
      </w:r>
    </w:p>
    <w:p>
      <w:pPr>
        <w:pStyle w:val="Heading2"/>
      </w:pPr>
      <w:r>
        <w:rPr>
          <w:rFonts w:ascii="Times New Roman" w:hAnsi="Times New Roman"/>
        </w:rPr>
        <w:t>1. Zugriff und Freigabe</w:t>
      </w:r>
    </w:p>
    <w:p>
      <w:pPr>
        <w:jc w:val="left"/>
      </w:pPr>
      <w:r>
        <w:t>Supportzugriffe aus den USA dürfen nur nach Freigabe eines RheinMain-Administrators erfolgen. Die Freigabe ist ticketbezogen, zeitlich befristet und muss den Zweck enthalten. CloudSuite protokolliert Nutzerkennung, Zeit, Ticket-ID, Zugriffsdauer und ausgeführte Admin-Aktionen.</w:t>
      </w:r>
    </w:p>
    <w:p>
      <w:pPr>
        <w:pStyle w:val="Heading2"/>
      </w:pPr>
      <w:r>
        <w:rPr>
          <w:rFonts w:ascii="Times New Roman" w:hAnsi="Times New Roman"/>
        </w:rPr>
        <w:t>2. Verschlüsselung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Bereich</w:t>
            </w:r>
          </w:p>
        </w:tc>
        <w:tc>
          <w:tcPr>
            <w:tcW w:type="dxa" w:w="3024"/>
          </w:tcPr>
          <w:p>
            <w:r>
              <w:rPr>
                <w:rFonts w:ascii="Times New Roman" w:hAnsi="Times New Roman"/>
                <w:b/>
                <w:sz w:val="20"/>
              </w:rPr>
              <w:t>Stand</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Transport</w:t>
            </w:r>
          </w:p>
        </w:tc>
        <w:tc>
          <w:tcPr>
            <w:tcW w:type="dxa" w:w="3024"/>
          </w:tcPr>
          <w:p>
            <w:r>
              <w:rPr>
                <w:rFonts w:ascii="Times New Roman" w:hAnsi="Times New Roman"/>
                <w:sz w:val="20"/>
              </w:rPr>
              <w:t>TLS 1.3</w:t>
            </w:r>
          </w:p>
        </w:tc>
        <w:tc>
          <w:tcPr>
            <w:tcW w:type="dxa" w:w="3024"/>
          </w:tcPr>
          <w:p>
            <w:r>
              <w:rPr>
                <w:rFonts w:ascii="Times New Roman" w:hAnsi="Times New Roman"/>
                <w:sz w:val="20"/>
              </w:rPr>
              <w:t>Ausreichend</w:t>
            </w:r>
          </w:p>
        </w:tc>
      </w:tr>
      <w:tr>
        <w:tc>
          <w:tcPr>
            <w:tcW w:type="dxa" w:w="3024"/>
          </w:tcPr>
          <w:p>
            <w:r>
              <w:rPr>
                <w:rFonts w:ascii="Times New Roman" w:hAnsi="Times New Roman"/>
                <w:sz w:val="20"/>
              </w:rPr>
              <w:t>Datenbank</w:t>
            </w:r>
          </w:p>
        </w:tc>
        <w:tc>
          <w:tcPr>
            <w:tcW w:type="dxa" w:w="3024"/>
          </w:tcPr>
          <w:p>
            <w:r>
              <w:rPr>
                <w:rFonts w:ascii="Times New Roman" w:hAnsi="Times New Roman"/>
                <w:sz w:val="20"/>
              </w:rPr>
              <w:t>AES-256</w:t>
            </w:r>
          </w:p>
        </w:tc>
        <w:tc>
          <w:tcPr>
            <w:tcW w:type="dxa" w:w="3024"/>
          </w:tcPr>
          <w:p>
            <w:r>
              <w:rPr>
                <w:rFonts w:ascii="Times New Roman" w:hAnsi="Times New Roman"/>
                <w:sz w:val="20"/>
              </w:rPr>
              <w:t>Ausreichend</w:t>
            </w:r>
          </w:p>
        </w:tc>
      </w:tr>
      <w:tr>
        <w:tc>
          <w:tcPr>
            <w:tcW w:type="dxa" w:w="3024"/>
          </w:tcPr>
          <w:p>
            <w:r>
              <w:rPr>
                <w:rFonts w:ascii="Times New Roman" w:hAnsi="Times New Roman"/>
                <w:sz w:val="20"/>
              </w:rPr>
              <w:t>Backups</w:t>
            </w:r>
          </w:p>
        </w:tc>
        <w:tc>
          <w:tcPr>
            <w:tcW w:type="dxa" w:w="3024"/>
          </w:tcPr>
          <w:p>
            <w:r>
              <w:rPr>
                <w:rFonts w:ascii="Times New Roman" w:hAnsi="Times New Roman"/>
                <w:sz w:val="20"/>
              </w:rPr>
              <w:t>AES-256, getrennte Backup-Schlüssel</w:t>
            </w:r>
          </w:p>
        </w:tc>
        <w:tc>
          <w:tcPr>
            <w:tcW w:type="dxa" w:w="3024"/>
          </w:tcPr>
          <w:p>
            <w:r>
              <w:rPr>
                <w:rFonts w:ascii="Times New Roman" w:hAnsi="Times New Roman"/>
                <w:sz w:val="20"/>
              </w:rPr>
              <w:t>Ausreichend</w:t>
            </w:r>
          </w:p>
        </w:tc>
      </w:tr>
      <w:tr>
        <w:tc>
          <w:tcPr>
            <w:tcW w:type="dxa" w:w="3024"/>
          </w:tcPr>
          <w:p>
            <w:r>
              <w:rPr>
                <w:rFonts w:ascii="Times New Roman" w:hAnsi="Times New Roman"/>
                <w:sz w:val="20"/>
              </w:rPr>
              <w:t>ReplyPilot-Payload</w:t>
            </w:r>
          </w:p>
        </w:tc>
        <w:tc>
          <w:tcPr>
            <w:tcW w:type="dxa" w:w="3024"/>
          </w:tcPr>
          <w:p>
            <w:r>
              <w:rPr>
                <w:rFonts w:ascii="Times New Roman" w:hAnsi="Times New Roman"/>
                <w:sz w:val="20"/>
              </w:rPr>
              <w:t>Anbieter-KMS, keine Kundenschlüssel</w:t>
            </w:r>
          </w:p>
        </w:tc>
        <w:tc>
          <w:tcPr>
            <w:tcW w:type="dxa" w:w="3024"/>
          </w:tcPr>
          <w:p>
            <w:r>
              <w:rPr>
                <w:rFonts w:ascii="Times New Roman" w:hAnsi="Times New Roman"/>
                <w:sz w:val="20"/>
              </w:rPr>
              <w:t>Für sensible Freitexte unzureichend</w:t>
            </w:r>
          </w:p>
        </w:tc>
      </w:tr>
      <w:tr>
        <w:tc>
          <w:tcPr>
            <w:tcW w:type="dxa" w:w="3024"/>
          </w:tcPr>
          <w:p>
            <w:r>
              <w:rPr>
                <w:rFonts w:ascii="Times New Roman" w:hAnsi="Times New Roman"/>
                <w:sz w:val="20"/>
              </w:rPr>
              <w:t>Exportdateien</w:t>
            </w:r>
          </w:p>
        </w:tc>
        <w:tc>
          <w:tcPr>
            <w:tcW w:type="dxa" w:w="3024"/>
          </w:tcPr>
          <w:p>
            <w:r>
              <w:rPr>
                <w:rFonts w:ascii="Times New Roman" w:hAnsi="Times New Roman"/>
                <w:sz w:val="20"/>
              </w:rPr>
              <w:t>SFTP oder verschlüsselter Downloadlink</w:t>
            </w:r>
          </w:p>
        </w:tc>
        <w:tc>
          <w:tcPr>
            <w:tcW w:type="dxa" w:w="3024"/>
          </w:tcPr>
          <w:p>
            <w:r>
              <w:rPr>
                <w:rFonts w:ascii="Times New Roman" w:hAnsi="Times New Roman"/>
                <w:sz w:val="20"/>
              </w:rPr>
              <w:t>Nur mit Ablaufdatum und MFA</w:t>
            </w:r>
          </w:p>
        </w:tc>
      </w:tr>
    </w:tbl>
    <w:p>
      <w:pPr>
        <w:pStyle w:val="Heading2"/>
      </w:pPr>
      <w:r>
        <w:rPr>
          <w:rFonts w:ascii="Times New Roman" w:hAnsi="Times New Roman"/>
        </w:rPr>
        <w:t>3. Key Management</w:t>
      </w:r>
    </w:p>
    <w:p>
      <w:pPr>
        <w:jc w:val="left"/>
      </w:pPr>
      <w:r>
        <w:t>CloudSuite nutzt standardmäßig Anbieter-KMS. RheinMain prüft die kostenpflichtige EU-Key-Option. Bis zur Entscheidung werden Ticketkategorien mit erhöhtem Schutzbedarf von ReplyPilot ausgeschlossen. Für Supportexporte wird ein RheinMain-PGP-Schlüssel eingesetzt.</w:t>
      </w:r>
    </w:p>
    <w:p>
      <w:pPr>
        <w:pStyle w:val="Heading2"/>
      </w:pPr>
      <w:r>
        <w:rPr>
          <w:rFonts w:ascii="Times New Roman" w:hAnsi="Times New Roman"/>
        </w:rPr>
        <w:t>4. Datenminimierung</w:t>
      </w:r>
    </w:p>
    <w:p>
      <w:pPr>
        <w:pStyle w:val="ListBullet"/>
      </w:pPr>
      <w:r>
        <w:t>ReplyPilot erhält nur den letzten relevanten Ticketauszug, nicht die vollständige Historie.</w:t>
      </w:r>
    </w:p>
    <w:p>
      <w:pPr>
        <w:pStyle w:val="ListBullet"/>
      </w:pPr>
      <w:r>
        <w:t>Maschinenseriennummern werden für Telemetrie gehasht.</w:t>
      </w:r>
    </w:p>
    <w:p>
      <w:pPr>
        <w:pStyle w:val="ListBullet"/>
      </w:pPr>
      <w:r>
        <w:t>IP-Adressen werden nach 24 Stunden gekürzt.</w:t>
      </w:r>
    </w:p>
    <w:p>
      <w:pPr>
        <w:pStyle w:val="ListBullet"/>
      </w:pPr>
      <w:r>
        <w:t>Anhänge werden nicht an ReplyPilot übertragen.</w:t>
      </w:r>
    </w:p>
    <w:p>
      <w:pPr>
        <w:pStyle w:val="Heading2"/>
      </w:pPr>
      <w:r>
        <w:rPr>
          <w:rFonts w:ascii="Times New Roman" w:hAnsi="Times New Roman"/>
        </w:rPr>
        <w:t>5. Organisatorische Maßnahmen</w:t>
      </w:r>
    </w:p>
    <w:p>
      <w:pPr>
        <w:pStyle w:val="ListBullet"/>
      </w:pPr>
      <w:r>
        <w:t>Schulung Supportteam am 22.05.2026: keine privaten, gesundheitlichen oder HR-bezogenen Angaben in CloudSuite erfassen.</w:t>
      </w:r>
    </w:p>
    <w:p>
      <w:pPr>
        <w:pStyle w:val="ListBullet"/>
      </w:pPr>
      <w:r>
        <w:t xml:space="preserve">Ticketkategorie </w:t>
      </w:r>
      <w:r>
        <w:t>Rechtsfall</w:t>
      </w:r>
      <w:r>
        <w:t xml:space="preserve"> nur noch mit manueller Bearbeitung ohne KI-Vorschlag.</w:t>
      </w:r>
    </w:p>
    <w:p>
      <w:pPr>
        <w:pStyle w:val="ListBullet"/>
      </w:pPr>
      <w:r>
        <w:t>Monatliche Stichprobe von 50 Tickets auf Freitextabweichungen.</w:t>
      </w:r>
    </w:p>
    <w:p>
      <w:pPr>
        <w:pStyle w:val="ListBullet"/>
      </w:pPr>
      <w:r>
        <w:t>Subprozessor-Änderungen gehen an Legal, DSB und IT Security.</w:t>
      </w:r>
    </w:p>
    <w:p>
      <w:pPr>
        <w:pStyle w:val="Heading2"/>
      </w:pPr>
      <w:r>
        <w:rPr>
          <w:rFonts w:ascii="Times New Roman" w:hAnsi="Times New Roman"/>
        </w:rPr>
        <w:t>6. Behördenzugriff</w:t>
      </w:r>
    </w:p>
    <w:p>
      <w:pPr>
        <w:jc w:val="left"/>
      </w:pPr>
      <w:r>
        <w:t>CloudSuite verpflichtet sich laut Security Addendum, Behördenanfragen zu prüfen, anzufechten, soweit rechtlich zulässig, und RheinMain zu informieren, soweit kein Verbot besteht. Ein Jahresbericht 2025 liegt als Summary vor. RheinMain fordert für 2026 quartalsweise Aktualisierung oder Negativbestätigung.</w:t>
      </w:r>
    </w:p>
    <w:p>
      <w:pPr>
        <w:pStyle w:val="Heading2"/>
      </w:pPr>
      <w:r>
        <w:rPr>
          <w:rFonts w:ascii="Times New Roman" w:hAnsi="Times New Roman"/>
        </w:rPr>
        <w:t>7. Offene TOM-Punkte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Punkt</w:t>
            </w:r>
          </w:p>
        </w:tc>
        <w:tc>
          <w:tcPr>
            <w:tcW w:type="dxa" w:w="3024"/>
          </w:tcPr>
          <w:p>
            <w:r>
              <w:rPr>
                <w:rFonts w:ascii="Times New Roman" w:hAnsi="Times New Roman"/>
                <w:b/>
                <w:sz w:val="20"/>
              </w:rPr>
              <w:t>Risiko</w:t>
            </w:r>
          </w:p>
        </w:tc>
        <w:tc>
          <w:tcPr>
            <w:tcW w:type="dxa" w:w="3024"/>
          </w:tcPr>
          <w:p>
            <w:r>
              <w:rPr>
                <w:rFonts w:ascii="Times New Roman" w:hAnsi="Times New Roman"/>
                <w:b/>
                <w:sz w:val="20"/>
              </w:rPr>
              <w:t>Termin</w:t>
            </w:r>
          </w:p>
        </w:tc>
      </w:tr>
      <w:tr>
        <w:tc>
          <w:tcPr>
            <w:tcW w:type="dxa" w:w="3024"/>
          </w:tcPr>
          <w:p>
            <w:r>
              <w:rPr>
                <w:rFonts w:ascii="Times New Roman" w:hAnsi="Times New Roman"/>
                <w:sz w:val="20"/>
              </w:rPr>
              <w:t>EU-Key-Option technisch und preislich klären</w:t>
            </w:r>
          </w:p>
        </w:tc>
        <w:tc>
          <w:tcPr>
            <w:tcW w:type="dxa" w:w="3024"/>
          </w:tcPr>
          <w:p>
            <w:r>
              <w:rPr>
                <w:rFonts w:ascii="Times New Roman" w:hAnsi="Times New Roman"/>
                <w:sz w:val="20"/>
              </w:rPr>
              <w:t>Mittel</w:t>
            </w:r>
          </w:p>
        </w:tc>
        <w:tc>
          <w:tcPr>
            <w:tcW w:type="dxa" w:w="3024"/>
          </w:tcPr>
          <w:p>
            <w:r>
              <w:rPr>
                <w:rFonts w:ascii="Times New Roman" w:hAnsi="Times New Roman"/>
                <w:sz w:val="20"/>
              </w:rPr>
              <w:t>15.06.2026</w:t>
            </w:r>
          </w:p>
        </w:tc>
      </w:tr>
      <w:tr>
        <w:tc>
          <w:tcPr>
            <w:tcW w:type="dxa" w:w="3024"/>
          </w:tcPr>
          <w:p>
            <w:r>
              <w:rPr>
                <w:rFonts w:ascii="Times New Roman" w:hAnsi="Times New Roman"/>
                <w:sz w:val="20"/>
              </w:rPr>
              <w:t>ReplyPilot-Payload-Maskierung testen</w:t>
            </w:r>
          </w:p>
        </w:tc>
        <w:tc>
          <w:tcPr>
            <w:tcW w:type="dxa" w:w="3024"/>
          </w:tcPr>
          <w:p>
            <w:r>
              <w:rPr>
                <w:rFonts w:ascii="Times New Roman" w:hAnsi="Times New Roman"/>
                <w:sz w:val="20"/>
              </w:rPr>
              <w:t>Hoch</w:t>
            </w:r>
          </w:p>
        </w:tc>
        <w:tc>
          <w:tcPr>
            <w:tcW w:type="dxa" w:w="3024"/>
          </w:tcPr>
          <w:p>
            <w:r>
              <w:rPr>
                <w:rFonts w:ascii="Times New Roman" w:hAnsi="Times New Roman"/>
                <w:sz w:val="20"/>
              </w:rPr>
              <w:t>31.05.2026</w:t>
            </w:r>
          </w:p>
        </w:tc>
      </w:tr>
      <w:tr>
        <w:tc>
          <w:tcPr>
            <w:tcW w:type="dxa" w:w="3024"/>
          </w:tcPr>
          <w:p>
            <w:r>
              <w:rPr>
                <w:rFonts w:ascii="Times New Roman" w:hAnsi="Times New Roman"/>
                <w:sz w:val="20"/>
              </w:rPr>
              <w:t>TicketForge Zugriff deaktiviert bestätigen</w:t>
            </w:r>
          </w:p>
        </w:tc>
        <w:tc>
          <w:tcPr>
            <w:tcW w:type="dxa" w:w="3024"/>
          </w:tcPr>
          <w:p>
            <w:r>
              <w:rPr>
                <w:rFonts w:ascii="Times New Roman" w:hAnsi="Times New Roman"/>
                <w:sz w:val="20"/>
              </w:rPr>
              <w:t>Hoch</w:t>
            </w:r>
          </w:p>
        </w:tc>
        <w:tc>
          <w:tcPr>
            <w:tcW w:type="dxa" w:w="3024"/>
          </w:tcPr>
          <w:p>
            <w:r>
              <w:rPr>
                <w:rFonts w:ascii="Times New Roman" w:hAnsi="Times New Roman"/>
                <w:sz w:val="20"/>
              </w:rPr>
              <w:t>24.05.2026</w:t>
            </w:r>
          </w:p>
        </w:tc>
      </w:tr>
      <w:tr>
        <w:tc>
          <w:tcPr>
            <w:tcW w:type="dxa" w:w="3024"/>
          </w:tcPr>
          <w:p>
            <w:r>
              <w:rPr>
                <w:rFonts w:ascii="Times New Roman" w:hAnsi="Times New Roman"/>
                <w:sz w:val="20"/>
              </w:rPr>
              <w:t>Audit-Log-Export automatisieren</w:t>
            </w:r>
          </w:p>
        </w:tc>
        <w:tc>
          <w:tcPr>
            <w:tcW w:type="dxa" w:w="3024"/>
          </w:tcPr>
          <w:p>
            <w:r>
              <w:rPr>
                <w:rFonts w:ascii="Times New Roman" w:hAnsi="Times New Roman"/>
                <w:sz w:val="20"/>
              </w:rPr>
              <w:t>Mittel</w:t>
            </w:r>
          </w:p>
        </w:tc>
        <w:tc>
          <w:tcPr>
            <w:tcW w:type="dxa" w:w="3024"/>
          </w:tcPr>
          <w:p>
            <w:r>
              <w:rPr>
                <w:rFonts w:ascii="Times New Roman" w:hAnsi="Times New Roman"/>
                <w:sz w:val="20"/>
              </w:rPr>
              <w:t>30.06.2026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