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Interne Notiz Partnerauftrag</w:t>
      </w:r>
    </w:p>
    <w:p>
      <w:pPr>
        <w:jc w:val="left"/>
      </w:pPr>
      <w:r>
        <w:rPr>
          <w:b/>
        </w:rPr>
        <w:t>Von:</w:t>
      </w:r>
      <w:r>
        <w:t xml:space="preserve"> RAin Dr. Veerena Kalmus</w:t>
      </w:r>
    </w:p>
    <w:p>
      <w:pPr>
        <w:jc w:val="left"/>
      </w:pPr>
      <w:r>
        <w:rPr>
          <w:b/>
        </w:rPr>
        <w:t>An:</w:t>
      </w:r>
      <w:r>
        <w:t xml:space="preserve"> IP-Team Produktdesign</w:t>
      </w:r>
    </w:p>
    <w:p>
      <w:pPr>
        <w:jc w:val="left"/>
      </w:pPr>
      <w:r>
        <w:rPr>
          <w:b/>
        </w:rPr>
        <w:t>Datum:</w:t>
      </w:r>
      <w:r>
        <w:t xml:space="preserve"> 25.05.2026, 19:20 Uhr</w:t>
      </w:r>
    </w:p>
    <w:p>
      <w:pPr>
        <w:jc w:val="left"/>
      </w:pPr>
      <w:r>
        <w:t>Bitte bis morgen 12:00 Uhr eine entscheidungsfähige Kurzlage zum L-27. Die Mandantin schwankt zwischen sofortiger Abmahnung, stiller Registeranmeldung und erstem Testkauf. Sie hat Angst, dass Nordufer den Marktstart zerstört, möchte aber keine eV verlieren, wenn der eigene Agenturpost die Sache verkompliziert.</w:t>
      </w:r>
    </w:p>
    <w:p>
      <w:pPr>
        <w:pStyle w:val="Heading2"/>
      </w:pPr>
      <w:r>
        <w:rPr>
          <w:rFonts w:ascii="Times New Roman" w:hAnsi="Times New Roman"/>
        </w:rPr>
        <w:t>Was ich brauche</w:t>
      </w:r>
    </w:p>
    <w:p>
      <w:pPr>
        <w:pStyle w:val="ListNumber"/>
      </w:pPr>
      <w:r>
        <w:t>Chronologie Offenbarung/Launch/Designfreigabe mit Belegen.</w:t>
      </w:r>
    </w:p>
    <w:p>
      <w:pPr>
        <w:pStyle w:val="ListNumber"/>
      </w:pPr>
      <w:r>
        <w:t>Rechtekette Designer und Agenturvertrag: wer durfte was zeigen?</w:t>
      </w:r>
    </w:p>
    <w:p>
      <w:pPr>
        <w:pStyle w:val="ListNumber"/>
      </w:pPr>
      <w:r>
        <w:t>Registerstrategie: deutsches Design, EU-Design, Hague ja/nein, Aufschiebung ja/nein.</w:t>
      </w:r>
    </w:p>
    <w:p>
      <w:pPr>
        <w:pStyle w:val="ListNumber"/>
      </w:pPr>
      <w:r>
        <w:t>Verletzungsrisiko Nordufer mit drei Stufen: „stark“, „vertretbar“, „zu dünn“.</w:t>
      </w:r>
    </w:p>
    <w:p>
      <w:pPr>
        <w:pStyle w:val="ListNumber"/>
      </w:pPr>
      <w:r>
        <w:t>Sofortmaßnahmen: Screenshots, Testkauf, Zoll/Plattform, Schutzschrift-Risiko.</w:t>
      </w:r>
    </w:p>
    <w:p>
      <w:pPr>
        <w:jc w:val="left"/>
      </w:pPr>
      <w:r>
        <w:t>Bitte keine großen Lehrbuchausführungen. Wenn Rechtsprechung genannt wird, nur mit Datum, Aktenzeichen und frei prüfbarer Quelle. Sonst lieber sauber als scheinpräzise.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