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Register- und Prioritätscheck</w:t>
      </w:r>
    </w:p>
    <w:p>
      <w:pPr>
        <w:pStyle w:val="Heading2"/>
      </w:pPr>
      <w:r>
        <w:rPr>
          <w:rFonts w:ascii="Times New Roman" w:hAnsi="Times New Roman"/>
        </w:rPr>
        <w:t>Naheliegende Schutzwege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Option</w:t>
            </w:r>
          </w:p>
        </w:tc>
        <w:tc>
          <w:tcPr>
            <w:tcW w:type="dxa" w:w="3024"/>
          </w:tcPr>
          <w:p>
            <w:r>
              <w:rPr>
                <w:rFonts w:ascii="Times New Roman" w:hAnsi="Times New Roman"/>
                <w:b/>
                <w:sz w:val="20"/>
              </w:rPr>
              <w:t>Vorteil</w:t>
            </w:r>
          </w:p>
        </w:tc>
        <w:tc>
          <w:tcPr>
            <w:tcW w:type="dxa" w:w="3024"/>
          </w:tcPr>
          <w:p>
            <w:r>
              <w:rPr>
                <w:rFonts w:ascii="Times New Roman" w:hAnsi="Times New Roman"/>
                <w:b/>
                <w:sz w:val="20"/>
              </w:rPr>
              <w:t>Risiko</w:t>
            </w:r>
          </w:p>
        </w:tc>
      </w:tr>
      <w:tr>
        <w:tc>
          <w:tcPr>
            <w:tcW w:type="dxa" w:w="3024"/>
          </w:tcPr>
          <w:p>
            <w:r>
              <w:rPr>
                <w:rFonts w:ascii="Times New Roman" w:hAnsi="Times New Roman"/>
                <w:sz w:val="20"/>
              </w:rPr>
              <w:t>Deutsches Design</w:t>
            </w:r>
          </w:p>
        </w:tc>
        <w:tc>
          <w:tcPr>
            <w:tcW w:type="dxa" w:w="3024"/>
          </w:tcPr>
          <w:p>
            <w:r>
              <w:rPr>
                <w:rFonts w:ascii="Times New Roman" w:hAnsi="Times New Roman"/>
                <w:sz w:val="20"/>
              </w:rPr>
              <w:t>schnell, günstig, DPMA-Register klar</w:t>
            </w:r>
          </w:p>
        </w:tc>
        <w:tc>
          <w:tcPr>
            <w:tcW w:type="dxa" w:w="3024"/>
          </w:tcPr>
          <w:p>
            <w:r>
              <w:rPr>
                <w:rFonts w:ascii="Times New Roman" w:hAnsi="Times New Roman"/>
                <w:sz w:val="20"/>
              </w:rPr>
              <w:t>nur Deutschland; Ausland bleibt separat</w:t>
            </w:r>
          </w:p>
        </w:tc>
      </w:tr>
      <w:tr>
        <w:tc>
          <w:tcPr>
            <w:tcW w:type="dxa" w:w="3024"/>
          </w:tcPr>
          <w:p>
            <w:r>
              <w:rPr>
                <w:rFonts w:ascii="Times New Roman" w:hAnsi="Times New Roman"/>
                <w:sz w:val="20"/>
              </w:rPr>
              <w:t>EU-Design</w:t>
            </w:r>
          </w:p>
        </w:tc>
        <w:tc>
          <w:tcPr>
            <w:tcW w:type="dxa" w:w="3024"/>
          </w:tcPr>
          <w:p>
            <w:r>
              <w:rPr>
                <w:rFonts w:ascii="Times New Roman" w:hAnsi="Times New Roman"/>
                <w:sz w:val="20"/>
              </w:rPr>
              <w:t>einheitlicher Schutz in der EU</w:t>
            </w:r>
          </w:p>
        </w:tc>
        <w:tc>
          <w:tcPr>
            <w:tcW w:type="dxa" w:w="3024"/>
          </w:tcPr>
          <w:p>
            <w:r>
              <w:rPr>
                <w:rFonts w:ascii="Times New Roman" w:hAnsi="Times New Roman"/>
                <w:sz w:val="20"/>
              </w:rPr>
              <w:t>Nichtigkeit trifft gesamtes Recht</w:t>
            </w:r>
          </w:p>
        </w:tc>
      </w:tr>
      <w:tr>
        <w:tc>
          <w:tcPr>
            <w:tcW w:type="dxa" w:w="3024"/>
          </w:tcPr>
          <w:p>
            <w:r>
              <w:rPr>
                <w:rFonts w:ascii="Times New Roman" w:hAnsi="Times New Roman"/>
                <w:sz w:val="20"/>
              </w:rPr>
              <w:t>Nicht eingetragenes EU-Design</w:t>
            </w:r>
          </w:p>
        </w:tc>
        <w:tc>
          <w:tcPr>
            <w:tcW w:type="dxa" w:w="3024"/>
          </w:tcPr>
          <w:p>
            <w:r>
              <w:rPr>
                <w:rFonts w:ascii="Times New Roman" w:hAnsi="Times New Roman"/>
                <w:sz w:val="20"/>
              </w:rPr>
              <w:t>hilfreich für kurzen Saison-/Launchschutz</w:t>
            </w:r>
          </w:p>
        </w:tc>
        <w:tc>
          <w:tcPr>
            <w:tcW w:type="dxa" w:w="3024"/>
          </w:tcPr>
          <w:p>
            <w:r>
              <w:rPr>
                <w:rFonts w:ascii="Times New Roman" w:hAnsi="Times New Roman"/>
                <w:sz w:val="20"/>
              </w:rPr>
              <w:t>Nachahmung und erste EU-Offenbarung müssen bewiesen werden</w:t>
            </w:r>
          </w:p>
        </w:tc>
      </w:tr>
      <w:tr>
        <w:tc>
          <w:tcPr>
            <w:tcW w:type="dxa" w:w="3024"/>
          </w:tcPr>
          <w:p>
            <w:r>
              <w:rPr>
                <w:rFonts w:ascii="Times New Roman" w:hAnsi="Times New Roman"/>
                <w:sz w:val="20"/>
              </w:rPr>
              <w:t>Hague-System</w:t>
            </w:r>
          </w:p>
        </w:tc>
        <w:tc>
          <w:tcPr>
            <w:tcW w:type="dxa" w:w="3024"/>
          </w:tcPr>
          <w:p>
            <w:r>
              <w:rPr>
                <w:rFonts w:ascii="Times New Roman" w:hAnsi="Times New Roman"/>
                <w:sz w:val="20"/>
              </w:rPr>
              <w:t>perspektivisch USA/UK/CH/JP mitdenken</w:t>
            </w:r>
          </w:p>
        </w:tc>
        <w:tc>
          <w:tcPr>
            <w:tcW w:type="dxa" w:w="3024"/>
          </w:tcPr>
          <w:p>
            <w:r>
              <w:rPr>
                <w:rFonts w:ascii="Times New Roman" w:hAnsi="Times New Roman"/>
                <w:sz w:val="20"/>
              </w:rPr>
              <w:t>lokale Besonderheiten und Wiedergaben müssen sitzen</w:t>
            </w:r>
          </w:p>
        </w:tc>
      </w:tr>
    </w:tbl>
    <w:p>
      <w:pPr>
        <w:pStyle w:val="Heading2"/>
      </w:pPr>
      <w:r>
        <w:rPr>
          <w:rFonts w:ascii="Times New Roman" w:hAnsi="Times New Roman"/>
        </w:rPr>
        <w:t>Sofortentscheidung</w:t>
      </w:r>
    </w:p>
    <w:p>
      <w:pPr>
        <w:jc w:val="left"/>
      </w:pPr>
      <w:r>
        <w:t>Die Mandantin sollte nicht nur auf die eV setzen. Erst Registerstand und Wiedergaben sauber machen, dann Testkauf und neutraler Produktvergleich. Für die Anmeldung sollten die Fotos nicht aus der Kampagne stammen, sondern aus neutraler Studioansicht mit einheitlichem Hintergrund und klaren Ansichten.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