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 - Rechtsgeschichtliche Akte Falkenau</w:t>
      </w:r>
    </w:p>
    <w:p>
      <w:pPr>
        <w:pStyle w:val="Heading2"/>
      </w:pPr>
      <w:r>
        <w:rPr>
          <w:rFonts w:ascii="Times New Roman" w:hAnsi="Times New Roman"/>
        </w:rPr>
        <w:t>Kurzlage</w:t>
      </w:r>
    </w:p>
    <w:p>
      <w:pPr>
        <w:jc w:val="left"/>
      </w:pPr>
      <w:r>
        <w:t>Restitution, BGB-Entstehung, DDR-Rechtsüberleitung und heutige Grundstücks-/Entschädigungsfrage.</w:t>
      </w:r>
    </w:p>
    <w:p>
      <w:pPr>
        <w:pStyle w:val="Heading2"/>
      </w:pPr>
      <w:r>
        <w:rPr>
          <w:rFonts w:ascii="Times New Roman" w:hAnsi="Times New Roman"/>
        </w:rPr>
        <w:t>Vorschlag</w:t>
      </w:r>
    </w:p>
    <w:p>
      <w:pPr>
        <w:pStyle w:val="ListNumber"/>
      </w:pPr>
      <w:r>
        <w:t xml:space="preserve">Akte anhand des allgemeinen Skills des Plugins </w:t>
      </w:r>
      <w:r>
        <w:t>deutsche-rechtsgeschichte</w:t>
      </w:r>
      <w:r>
        <w:t xml:space="preserve"> sortieren.</w:t>
      </w:r>
    </w:p>
    <w:p>
      <w:pPr>
        <w:pStyle w:val="ListNumber"/>
      </w:pPr>
      <w:r>
        <w:t>Danach den passenden Spezialskill laden und einen Quellen-/Risikovermerk erstellen.</w:t>
      </w:r>
    </w:p>
    <w:p>
      <w:pPr>
        <w:pStyle w:val="ListNumber"/>
      </w:pPr>
      <w:r>
        <w:t>Offene Punkte als Rückfragenliste formulieren.</w:t>
      </w:r>
    </w:p>
    <w:p>
      <w:pPr>
        <w:pStyle w:val="ListNumber"/>
      </w:pPr>
      <w:r>
        <w:t>Ergebnis als Memo mit Ampel und Entscheidungsvorschlag ausgeben.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