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Familienkorrespondenz, Archivvermerk und Restitutionslinie</w:t>
      </w:r>
    </w:p>
    <w:p>
      <w:pPr>
        <w:pStyle w:val="Heading2"/>
      </w:pPr>
      <w:r>
        <w:rPr>
          <w:rFonts w:ascii="Times New Roman" w:hAnsi="Times New Roman"/>
        </w:rPr>
        <w:t>Vollständige Gesprächsnotiz</w:t>
      </w:r>
    </w:p>
    <w:p>
      <w:pPr>
        <w:jc w:val="left"/>
      </w:pPr>
      <w:r>
        <w:t>Am 04.06.2026 schilderte Erbengemeinschaft Falkenau, vertreten durch Elisabeth Rodewald die Angelegenheit in einem längeren Telefonat. Gegenstand ist Rückfrage zu enteignetem Mühlen- und Gartenland, Überleitung von DDR-Rechtsakten, Restitutionsausschluss und heutige Grundbuchlage nach mehrfachen Umnummerierungen.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Die Familie besitzt ein vergilbtes Übergabeprotokoll von 1953, einen Katasterplan mit abweichender Flurstücksnummer und einen Bescheid aus 1994, der nur über Inventar, nicht aber über den Uferstreifen entschieden hat. Die Gemeinde nutzt den Uferstreifen heute als Radweg und verweist auf “öffentliche Widmung seit DDR-Zeit”.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der Enkelin an das Landesarchiv und die anwaltliche Bearbeitung</w:t>
      </w:r>
    </w:p>
    <w:p>
      <w:pPr>
        <w:jc w:val="left"/>
      </w:pPr>
      <w:r>
        <w:t>```</w:t>
      </w:r>
    </w:p>
    <w:p>
      <w:pPr>
        <w:jc w:val="left"/>
      </w:pPr>
      <w:r>
        <w:t>Von:      elisabeth.rodewald@postfach.test</w:t>
      </w:r>
    </w:p>
    <w:p>
      <w:pPr>
        <w:jc w:val="left"/>
      </w:pPr>
      <w:r>
        <w:t>An:       archivstelle@landesarchiv.test; kanzlei@rechtshistorik.test</w:t>
      </w:r>
    </w:p>
    <w:p>
      <w:pPr>
        <w:jc w:val="left"/>
      </w:pPr>
      <w:r>
        <w:t>Datum:    Do 04.06.2026, 08:47 Uhr</w:t>
      </w:r>
    </w:p>
    <w:p>
      <w:pPr>
        <w:jc w:val="left"/>
      </w:pPr>
      <w:r>
        <w:t>Betreff:  Falkenauer Mühle - Beschluss 1952, Grundbuchblatt und heutige Flurstücke</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prüfen Sie nicht nur den heutigen Grundbuchstand, sondern die historische Kette von Enteignung, Volkseigentum, Zuordnung, Vermögensgesetz und späterer kommunaler Nutzung.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Erbengemeinschaft Falkenau, vertreten durch Elisabeth Rodewald</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einer archiv- und vermögensrechtlichen Anfrage</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