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01 — Kanzleinotiz: Erstgespräch Selin Uvalkanat, 07.03.2026</w:t>
      </w:r>
    </w:p>
    <w:p>
      <w:pPr>
        <w:jc w:val="left"/>
      </w:pPr>
      <w:r>
        <w:rPr>
          <w:b/>
        </w:rPr>
        <w:t>Kanzlei:</w:t>
      </w:r>
      <w:r>
        <w:t xml:space="preserve"> Lentze, Stopper &amp; Partner, Rechtsanwälte und Fachanwälte, Kronenstraße 55, 70174 Stuttgart</w:t>
      </w:r>
    </w:p>
    <w:p>
      <w:pPr>
        <w:jc w:val="left"/>
      </w:pPr>
      <w:r>
        <w:rPr>
          <w:b/>
        </w:rPr>
        <w:t>Bearbeiter:</w:t>
      </w:r>
      <w:r>
        <w:t xml:space="preserve"> RA Prof. Dr. Markus Lentze (federführend), RAin Sophie Wenderlich (Assoziation)</w:t>
      </w:r>
    </w:p>
    <w:p>
      <w:pPr>
        <w:jc w:val="left"/>
      </w:pPr>
      <w:r>
        <w:rPr>
          <w:b/>
        </w:rPr>
        <w:t>Datum:</w:t>
      </w:r>
      <w:r>
        <w:t xml:space="preserve"> Samstag, 07.03.2026, 10:00–13:30 Uhr</w:t>
      </w:r>
    </w:p>
    <w:p>
      <w:pPr>
        <w:jc w:val="left"/>
      </w:pPr>
      <w:r>
        <w:rPr>
          <w:b/>
        </w:rPr>
        <w:t>Ort:</w:t>
      </w:r>
      <w:r>
        <w:t xml:space="preserve"> Kanzleibüro Stuttgart, Besprechungsraum 2</w:t>
      </w:r>
    </w:p>
    <w:p>
      <w:pPr>
        <w:jc w:val="left"/>
      </w:pPr>
      <w:r>
        <w:rPr>
          <w:b/>
        </w:rPr>
        <w:t>Anwesend:</w:t>
      </w:r>
      <w:r>
        <w:t xml:space="preserve"> Selin Uvalkanat (Mandantin), Ceyda Uvalkanat (Mutter, Dolmetscherin Türkisch/Deutsch), Prof. Dr. Lentze, RAin Wenderlich</w:t>
      </w:r>
    </w:p>
    <w:p>
      <w:pPr>
        <w:jc w:val="left"/>
      </w:pPr>
      <w:r>
        <w:rPr>
          <w:b/>
        </w:rPr>
        <w:t>AZ intern:</w:t>
      </w:r>
      <w:r>
        <w:t xml:space="preserve"> SU/DOPING/2026-001</w:t>
      </w:r>
    </w:p>
    <w:p/>
    <w:p>
      <w:pPr>
        <w:pStyle w:val="Heading2"/>
      </w:pPr>
      <w:r>
        <w:rPr>
          <w:rFonts w:ascii="Times New Roman" w:hAnsi="Times New Roman"/>
        </w:rPr>
        <w:t>1. Sachverhaltsaufnahme</w:t>
      </w:r>
    </w:p>
    <w:p>
      <w:pPr>
        <w:jc w:val="left"/>
      </w:pPr>
      <w:r>
        <w:t>Die Mandantin erschien sichtlich unter Stress. Sie berichtete Folgendes:</w:t>
      </w:r>
    </w:p>
    <w:p>
      <w:pPr>
        <w:jc w:val="left"/>
      </w:pPr>
      <w:r>
        <w:t xml:space="preserve">Am </w:t>
      </w:r>
      <w:r>
        <w:rPr>
          <w:b/>
        </w:rPr>
        <w:t>18.02.2026</w:t>
      </w:r>
      <w:r>
        <w:t xml:space="preserve"> fand in der BSV-Sporthalle Zwickau gegen 09:30 Uhr eine unangekündigte NADA-Trainingskontrolle statt. Probe-Entnahme durch DCO (Dopingkontrolleur) Herrn Andreas Schubert (NADA-Akkreditierungsnummer DC-2204). Mandantin hat die Probenahme-Dokumentation unterzeichnet, ohne Beanstandungen; beide Flaschen (A- und B-Probe) wurden ordnungsgemäß versiegelt. Urinprobe, kein Blut.</w:t>
      </w:r>
    </w:p>
    <w:p>
      <w:pPr>
        <w:jc w:val="left"/>
      </w:pPr>
      <w:r>
        <w:t xml:space="preserve">Am </w:t>
      </w:r>
      <w:r>
        <w:rPr>
          <w:b/>
        </w:rPr>
        <w:t>26.02.2026</w:t>
      </w:r>
      <w:r>
        <w:t xml:space="preserve"> erhielt sie telefonisch von DHB-Generalsekretär Thomas Bergmann die erste Information, dass die A-Probe einen positiven Befund auf </w:t>
      </w:r>
      <w:r>
        <w:rPr>
          <w:b/>
        </w:rPr>
        <w:t>Meldonium</w:t>
      </w:r>
      <w:r>
        <w:t xml:space="preserve"> ergeben habe. WADA-akkreditiertes Labor: Institut für Biochemie, Deutsche Sporthochschule Köln (DSHS). Quantitativer Befund: </w:t>
      </w:r>
      <w:r>
        <w:rPr>
          <w:b/>
        </w:rPr>
        <w:t>0,54 µg/mL</w:t>
      </w:r>
      <w:r>
        <w:t xml:space="preserve"> (der WADA-Schwellenwert für Meldonium liegt seit 01.01.2023 bei </w:t>
      </w:r>
      <w:r>
        <w:rPr>
          <w:b/>
        </w:rPr>
        <w:t>0,50 µg/mL</w:t>
      </w:r>
      <w:r>
        <w:t xml:space="preserve"> im Urin).</w:t>
      </w:r>
    </w:p>
    <w:p>
      <w:pPr>
        <w:jc w:val="left"/>
      </w:pPr>
      <w:r>
        <w:t xml:space="preserve">Am </w:t>
      </w:r>
      <w:r>
        <w:rPr>
          <w:b/>
        </w:rPr>
        <w:t>04.03.2026</w:t>
      </w:r>
      <w:r>
        <w:t xml:space="preserve"> bestätigte die B-Probe denselben Befund. Mandantin hatte die B-Proben-Öffnung durch RA Jürgen Speier (Stuttgart) beobachten lassen — dieser konnte keine Unregelmäßigkeiten bei der Versiegelung feststellen.</w:t>
      </w:r>
    </w:p>
    <w:p>
      <w:pPr>
        <w:jc w:val="left"/>
      </w:pPr>
      <w:r>
        <w:t xml:space="preserve">Auf Befragen erklärt die Mandantin, sie habe zu keinem Zeitpunkt willentlich Meldonium konsumiert. Sie verwendet seit Oktober 2024 das Nahrungsergänzungsmittel </w:t>
      </w:r>
      <w:r>
        <w:rPr>
          <w:b/>
        </w:rPr>
        <w:t>RecoveryMax Pro</w:t>
      </w:r>
      <w:r>
        <w:t xml:space="preserve"> der Firma PowerNutrition GmbH, Memmingen, Charge </w:t>
      </w:r>
      <w:r>
        <w:rPr>
          <w:b/>
        </w:rPr>
        <w:t>22-4188</w:t>
      </w:r>
      <w:r>
        <w:t>, MHD: 31.08.2026, täglich 2 Kapseln morgens. Das Präparat wurde ihr von ihrer Vereinstrainerin Frau Barbara Ehrfeld empfohlen. Mandantin besitzt noch 14 verbleibende Kapseln aus der aktuellen Packung.</w:t>
      </w:r>
    </w:p>
    <w:p/>
    <w:p>
      <w:pPr>
        <w:pStyle w:val="Heading2"/>
      </w:pPr>
      <w:r>
        <w:rPr>
          <w:rFonts w:ascii="Times New Roman" w:hAnsi="Times New Roman"/>
        </w:rPr>
        <w:t>2. Persönliche Situation</w:t>
      </w:r>
    </w:p>
    <w:p>
      <w:pPr>
        <w:jc w:val="left"/>
      </w:pPr>
      <w:r>
        <w:t>Selin Uvalkanat, geboren 14.07.1999 in Zwickau; deutsche und türkische Staatsbürgerschaft. Vater: Mehmet Uvalkanat (türk. Staatsbürger, Maschinenbautechniker, Zwickau); Mutter: Ceyda Uvalkanat, geb. Kaya (Deutsche, Lehrerin). Wohnhaft: Karl-Marx-Straße 47, 08056 Zwickau.</w:t>
      </w:r>
    </w:p>
    <w:p>
      <w:pPr>
        <w:jc w:val="left"/>
      </w:pPr>
      <w:r>
        <w:t>Sportliche Laufbahn: Volleyball-Jugend, Handball ab U13; BSV Sachsen Zwickau U17, U19, Frauen-Bundesliga seit 2019/2020. Nationalmannschaft (DHB) seit 2022, 38 Länderspiele. Bruttomonatsgehalt lt. Arbeitsvertrag: 6.200 EUR. Laufzeit des Arbeitsvertrages: bis 30.06.2028. Keine weiteren Beschäftigungsverhältnisse.</w:t>
      </w:r>
    </w:p>
    <w:p>
      <w:pPr>
        <w:jc w:val="left"/>
      </w:pPr>
      <w:r>
        <w:t>Adidas AG (Herzogenaurach) — Individualsponsor-Vertrag seit 01.01.2025, Vertragslaufzeit 3 Jahre, Jahresvergütung 40.000 EUR netto, Provisionsvorschuss für 2026 in Höhe von 80.000 EUR bereits ausgezahlt.</w:t>
      </w:r>
    </w:p>
    <w:p>
      <w:pPr>
        <w:jc w:val="left"/>
      </w:pPr>
      <w:r>
        <w:t>Mandantin ist psychisch stark belastet; Unterstützung durch Sportpsychologin Dr. Miriam Böhm (Zwickau) läuft bereits seit 01.03.2026.</w:t>
      </w:r>
    </w:p>
    <w:p/>
    <w:p>
      <w:pPr>
        <w:pStyle w:val="Heading2"/>
      </w:pPr>
      <w:r>
        <w:rPr>
          <w:rFonts w:ascii="Times New Roman" w:hAnsi="Times New Roman"/>
        </w:rPr>
        <w:t>3. Erster Rechtlicher Befund</w:t>
      </w:r>
    </w:p>
    <w:p>
      <w:pPr>
        <w:pStyle w:val="Heading3"/>
      </w:pPr>
      <w:r>
        <w:rPr>
          <w:rFonts w:ascii="Times New Roman" w:hAnsi="Times New Roman"/>
        </w:rPr>
        <w:t>3.1 Anti-Doping-Recht</w:t>
      </w:r>
    </w:p>
    <w:p>
      <w:pPr>
        <w:jc w:val="left"/>
      </w:pPr>
      <w:r>
        <w:t xml:space="preserve">Meldonium steht seit 01.01.2016 auf der WADA-Verbotsliste, Kategorie S4 (Hormone und Stoffwechselmodulatoren). Der Befund begründet einen </w:t>
      </w:r>
      <w:r>
        <w:rPr>
          <w:b/>
        </w:rPr>
        <w:t>Verstoß gegen Art. 2.1 NADC 2021</w:t>
      </w:r>
      <w:r>
        <w:t xml:space="preserve"> (presence of a prohibited substance). Bei nachgewiesener Absicht droht eine </w:t>
      </w:r>
      <w:r>
        <w:rPr>
          <w:b/>
        </w:rPr>
        <w:t>4-Jahres-Sperre</w:t>
      </w:r>
      <w:r>
        <w:t xml:space="preserve"> nach Art. 10.2.1 NADC. Ohne nachgewiesene Absicht — wenn die Mandantin die Quelle der Substanz glaubhaft darlegen und sich von Verschulden befreien kann — ist eine </w:t>
      </w:r>
      <w:r>
        <w:rPr>
          <w:b/>
        </w:rPr>
        <w:t>2-Jahres-Sperre</w:t>
      </w:r>
      <w:r>
        <w:t xml:space="preserve"> nach Art. 10.2.2 NADC das Ausgangsszenario. Eine vollständige Befreiung nach Art. 10.5 NADC (kein Verschulden oder keine erhebliche Schuld) ist bei erfolgreicher Kontaminationsthese möglich.</w:t>
      </w:r>
    </w:p>
    <w:p>
      <w:pPr>
        <w:pStyle w:val="Heading3"/>
      </w:pPr>
      <w:r>
        <w:rPr>
          <w:rFonts w:ascii="Times New Roman" w:hAnsi="Times New Roman"/>
        </w:rPr>
        <w:t>3.2 Kontaminationsthese</w:t>
      </w:r>
    </w:p>
    <w:p>
      <w:pPr>
        <w:jc w:val="left"/>
      </w:pPr>
      <w:r>
        <w:t>Prioritär ist die Sicherstellung und forensische Analyse der Supplement-Charge. Die 14 verbliebenen Kapseln sind unverzüglich sicherzustellen und an ein unabhängiges, WADA-akkreditiertes Labor einzusenden. Zudem ist bei PowerNutrition GmbH Einsicht in Herstellungsprotokolle und Chargenanalysen zu beantragen.</w:t>
      </w:r>
    </w:p>
    <w:p>
      <w:pPr>
        <w:pStyle w:val="Heading3"/>
      </w:pPr>
      <w:r>
        <w:rPr>
          <w:rFonts w:ascii="Times New Roman" w:hAnsi="Times New Roman"/>
        </w:rPr>
        <w:t>3.3 Arbeitsrecht</w:t>
      </w:r>
    </w:p>
    <w:p>
      <w:pPr>
        <w:jc w:val="left"/>
      </w:pPr>
      <w:r>
        <w:t>BSV Sachsen Zwickau hat noch nicht gekündigt (Stand 07.03.2026), aber der Vereinsvorsitzende hat laut Mandantin telefonisch „eine Entscheidung bis Montag" (09.03.2026) angekündigt. Eine fristlose Kündigung nach § 626 BGB ist rechtlich problematisch, solange das Disziplinarverfahren nicht abgeschlossen und keine rechtskräftige Sperre ausgesprochen ist.</w:t>
      </w:r>
    </w:p>
    <w:p>
      <w:pPr>
        <w:pStyle w:val="Heading3"/>
      </w:pPr>
      <w:r>
        <w:rPr>
          <w:rFonts w:ascii="Times New Roman" w:hAnsi="Times New Roman"/>
        </w:rPr>
        <w:t>3.4 Medien</w:t>
      </w:r>
    </w:p>
    <w:p>
      <w:pPr>
        <w:jc w:val="left"/>
      </w:pPr>
      <w:r>
        <w:t>Erste Presseberichte noch nicht aufgetreten; Vorbeugung durch Pressemitteilung der Kanzlei bis Ende der Woche geplant.</w:t>
      </w:r>
    </w:p>
    <w:p/>
    <w:p>
      <w:pPr>
        <w:pStyle w:val="Heading2"/>
      </w:pPr>
      <w:r>
        <w:rPr>
          <w:rFonts w:ascii="Times New Roman" w:hAnsi="Times New Roman"/>
        </w:rPr>
        <w:t>4. Maßnahmen (sofort)</w:t>
      </w:r>
    </w:p>
    <w:p>
      <w:pPr>
        <w:pStyle w:val="ListNumber"/>
      </w:pPr>
      <w:r>
        <w:rPr>
          <w:b/>
        </w:rPr>
        <w:t>Supplement sicherstellen:</w:t>
      </w:r>
      <w:r>
        <w:t xml:space="preserve"> Mandantin übergibt die verbliebenen Kapseln noch heute an RAin Wenderlich; Einlagerung unter kontrollierten Bedingungen bis Absendung an Labor.</w:t>
      </w:r>
    </w:p>
    <w:p>
      <w:pPr>
        <w:pStyle w:val="ListNumber"/>
      </w:pPr>
      <w:r>
        <w:rPr>
          <w:b/>
        </w:rPr>
        <w:t>Einsicht Analyseprotokoll NADA:</w:t>
      </w:r>
      <w:r>
        <w:t xml:space="preserve"> Antrag auf vollständige Akteneinsicht nach Art. 14.1.2 NADC an NADA Bonn (formlos per Fax, 14.03.2026).</w:t>
      </w:r>
    </w:p>
    <w:p>
      <w:pPr>
        <w:pStyle w:val="ListNumber"/>
      </w:pPr>
      <w:r>
        <w:rPr>
          <w:b/>
        </w:rPr>
        <w:t>B-Proben-Gutachten:</w:t>
      </w:r>
      <w:r>
        <w:t xml:space="preserve"> Prof. Dr. Stefan Kempa (Toxikologie, Uni Mainz) wird als Parteisachverständiger angefragt.</w:t>
      </w:r>
    </w:p>
    <w:p>
      <w:pPr>
        <w:pStyle w:val="ListNumber"/>
      </w:pPr>
      <w:r>
        <w:rPr>
          <w:b/>
        </w:rPr>
        <w:t>Mandat Vollmacht:</w:t>
      </w:r>
      <w:r>
        <w:t xml:space="preserve"> Mandantin unterzeichnet Vollmacht für Lentze, Stopper &amp; Partner zur Vertretung in allen sportrechtlichen, arbeitsrechtlichen und medienrechtlichen Angelegenheiten.</w:t>
      </w:r>
    </w:p>
    <w:p>
      <w:pPr>
        <w:pStyle w:val="ListNumber"/>
      </w:pPr>
      <w:r>
        <w:rPr>
          <w:b/>
        </w:rPr>
        <w:t>Schweigepflicht Mandantin:</w:t>
      </w:r>
      <w:r>
        <w:t xml:space="preserve"> Keine Interviews, keine Social-Media-Posts bis auf Weiteres.</w:t>
      </w:r>
    </w:p>
    <w:p>
      <w:pPr>
        <w:pStyle w:val="ListNumber"/>
      </w:pPr>
      <w:r>
        <w:rPr>
          <w:b/>
        </w:rPr>
        <w:t>Kontakt DHB:</w:t>
      </w:r>
      <w:r>
        <w:t xml:space="preserve"> Prof. Dr. Lentze nimmt noch heute Kontakt zu DHB-Justiziarin Dr. Petra Siebenborn auf.</w:t>
      </w:r>
    </w:p>
    <w:p/>
    <w:p>
      <w:pPr>
        <w:pStyle w:val="Heading2"/>
      </w:pPr>
      <w:r>
        <w:rPr>
          <w:rFonts w:ascii="Times New Roman" w:hAnsi="Times New Roman"/>
        </w:rPr>
        <w:t>5. Kostenhinweis</w:t>
      </w:r>
    </w:p>
    <w:p>
      <w:pPr>
        <w:jc w:val="left"/>
      </w:pPr>
      <w:r>
        <w:t>Vereinbarung eines Stundensatzes von 380 EUR (Prof. Dr. Lentze) und 220 EUR (RAin Wenderlich), zzgl. USt. Vorschussrechnung über 15.000 EUR netto wird bis 10.03.2026 gestellt. Mandantin hat zugestimmt. Rechtschutzversicherung (ARAG, Police-Nr. 44-778-291-6) deckt sportrechtliche Verfahren nach Rücksprache mit ARAG-Leistungsabteilung möglicherweise nicht ab — Klärung läuft.</w:t>
      </w:r>
    </w:p>
    <w:p/>
    <w:p>
      <w:pPr>
        <w:pStyle w:val="Heading2"/>
      </w:pPr>
      <w:r>
        <w:rPr>
          <w:rFonts w:ascii="Times New Roman" w:hAnsi="Times New Roman"/>
        </w:rPr>
        <w:t>6. Unterschriften / Vollmacht</w:t>
      </w:r>
    </w:p>
    <w:p>
      <w:pPr>
        <w:jc w:val="left"/>
      </w:pPr>
      <w:r>
        <w:t>Vollmacht unterzeichnet am 07.03.2026 um 13:15 Uhr in Stuttgart.</w:t>
      </w:r>
    </w:p>
    <w:p>
      <w:pPr>
        <w:jc w:val="left"/>
      </w:pPr>
      <w:r>
        <w:t>Lentze, Stopper &amp; Partner, Notiz erstellt: RAin Sophie Wenderlich, 07.03.2026.</w:t>
      </w:r>
    </w:p>
    <w:p/>
    <w:p>
      <w:pPr>
        <w:jc w:val="left"/>
      </w:pPr>
      <w:r>
        <w:rPr>
          <w:i/>
        </w:rPr>
        <w:t>Quellen und Normen: NADC 2021 Art. 2.1, 10.2, 10.5; WADA-Verbotsliste 2026 S4; § 626 BGB; DSHS Köln Laborakkreditierung ISO 17025.</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