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NADA-Trainingskontrolle 18.02.2026: A-Probe-Befund Meldonium</w:t>
      </w:r>
    </w:p>
    <w:p>
      <w:pPr>
        <w:jc w:val="left"/>
      </w:pPr>
      <w:r>
        <w:rPr>
          <w:b/>
        </w:rPr>
        <w:t>Erstellt:</w:t>
      </w:r>
      <w:r>
        <w:t xml:space="preserve"> 09.03.2026</w:t>
      </w:r>
    </w:p>
    <w:p>
      <w:pPr>
        <w:jc w:val="left"/>
      </w:pPr>
      <w:r>
        <w:rPr>
          <w:b/>
        </w:rPr>
        <w:t>Bearbeiter:</w:t>
      </w:r>
      <w:r>
        <w:t xml:space="preserve"> RAin Sophie Wenderlich</w:t>
      </w:r>
    </w:p>
    <w:p>
      <w:pPr>
        <w:jc w:val="left"/>
      </w:pPr>
      <w:r>
        <w:rPr>
          <w:b/>
        </w:rPr>
        <w:t>AZ:</w:t>
      </w:r>
      <w:r>
        <w:t xml:space="preserve"> SU/DOPING/2026-001 / DSGSp 12/26</w:t>
      </w:r>
    </w:p>
    <w:p/>
    <w:p>
      <w:pPr>
        <w:pStyle w:val="Heading2"/>
      </w:pPr>
      <w:r>
        <w:rPr>
          <w:rFonts w:ascii="Times New Roman" w:hAnsi="Times New Roman"/>
        </w:rPr>
        <w:t>1. Kontrolldaten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Datum der Kontrolle</w:t>
            </w:r>
          </w:p>
        </w:tc>
        <w:tc>
          <w:tcPr>
            <w:tcW w:type="dxa" w:w="4536"/>
          </w:tcPr>
          <w:p>
            <w:r>
              <w:rPr>
                <w:rFonts w:ascii="Times New Roman" w:hAnsi="Times New Roman"/>
                <w:sz w:val="20"/>
              </w:rPr>
              <w:t>18.02.2026</w:t>
            </w:r>
          </w:p>
        </w:tc>
      </w:tr>
      <w:tr>
        <w:tc>
          <w:tcPr>
            <w:tcW w:type="dxa" w:w="4536"/>
          </w:tcPr>
          <w:p>
            <w:r>
              <w:rPr>
                <w:rFonts w:ascii="Times New Roman" w:hAnsi="Times New Roman"/>
                <w:sz w:val="20"/>
              </w:rPr>
              <w:t>Uhrzeit</w:t>
            </w:r>
          </w:p>
        </w:tc>
        <w:tc>
          <w:tcPr>
            <w:tcW w:type="dxa" w:w="4536"/>
          </w:tcPr>
          <w:p>
            <w:r>
              <w:rPr>
                <w:rFonts w:ascii="Times New Roman" w:hAnsi="Times New Roman"/>
                <w:sz w:val="20"/>
              </w:rPr>
              <w:t>09:28 Uhr</w:t>
            </w:r>
          </w:p>
        </w:tc>
      </w:tr>
      <w:tr>
        <w:tc>
          <w:tcPr>
            <w:tcW w:type="dxa" w:w="4536"/>
          </w:tcPr>
          <w:p>
            <w:r>
              <w:rPr>
                <w:rFonts w:ascii="Times New Roman" w:hAnsi="Times New Roman"/>
                <w:sz w:val="20"/>
              </w:rPr>
              <w:t>Ort</w:t>
            </w:r>
          </w:p>
        </w:tc>
        <w:tc>
          <w:tcPr>
            <w:tcW w:type="dxa" w:w="4536"/>
          </w:tcPr>
          <w:p>
            <w:r>
              <w:rPr>
                <w:rFonts w:ascii="Times New Roman" w:hAnsi="Times New Roman"/>
                <w:sz w:val="20"/>
              </w:rPr>
              <w:t>Sporthalle BSV Sachsen Zwickau, Am Scheffelberg 3, 08056 Zwickau</w:t>
            </w:r>
          </w:p>
        </w:tc>
      </w:tr>
      <w:tr>
        <w:tc>
          <w:tcPr>
            <w:tcW w:type="dxa" w:w="4536"/>
          </w:tcPr>
          <w:p>
            <w:r>
              <w:rPr>
                <w:rFonts w:ascii="Times New Roman" w:hAnsi="Times New Roman"/>
                <w:sz w:val="20"/>
              </w:rPr>
              <w:t>Art der Kontrolle</w:t>
            </w:r>
          </w:p>
        </w:tc>
        <w:tc>
          <w:tcPr>
            <w:tcW w:type="dxa" w:w="4536"/>
          </w:tcPr>
          <w:p>
            <w:r>
              <w:rPr>
                <w:rFonts w:ascii="Times New Roman" w:hAnsi="Times New Roman"/>
                <w:sz w:val="20"/>
              </w:rPr>
              <w:t>Unangekündigte Trainingskontrolle (Out-of-Competition)</w:t>
            </w:r>
          </w:p>
        </w:tc>
      </w:tr>
      <w:tr>
        <w:tc>
          <w:tcPr>
            <w:tcW w:type="dxa" w:w="4536"/>
          </w:tcPr>
          <w:p>
            <w:r>
              <w:rPr>
                <w:rFonts w:ascii="Times New Roman" w:hAnsi="Times New Roman"/>
                <w:sz w:val="20"/>
              </w:rPr>
              <w:t>Kontrolleur (DCO)</w:t>
            </w:r>
          </w:p>
        </w:tc>
        <w:tc>
          <w:tcPr>
            <w:tcW w:type="dxa" w:w="4536"/>
          </w:tcPr>
          <w:p>
            <w:r>
              <w:rPr>
                <w:rFonts w:ascii="Times New Roman" w:hAnsi="Times New Roman"/>
                <w:sz w:val="20"/>
              </w:rPr>
              <w:t>Andreas Schubert (Akkreditierungs-Nr. DC-2204, NADA)</w:t>
            </w:r>
          </w:p>
        </w:tc>
      </w:tr>
      <w:tr>
        <w:tc>
          <w:tcPr>
            <w:tcW w:type="dxa" w:w="4536"/>
          </w:tcPr>
          <w:p>
            <w:r>
              <w:rPr>
                <w:rFonts w:ascii="Times New Roman" w:hAnsi="Times New Roman"/>
                <w:sz w:val="20"/>
              </w:rPr>
              <w:t>Probenahme-Art</w:t>
            </w:r>
          </w:p>
        </w:tc>
        <w:tc>
          <w:tcPr>
            <w:tcW w:type="dxa" w:w="4536"/>
          </w:tcPr>
          <w:p>
            <w:r>
              <w:rPr>
                <w:rFonts w:ascii="Times New Roman" w:hAnsi="Times New Roman"/>
                <w:sz w:val="20"/>
              </w:rPr>
              <w:t>Urin (Spontanprobe)</w:t>
            </w:r>
          </w:p>
        </w:tc>
      </w:tr>
      <w:tr>
        <w:tc>
          <w:tcPr>
            <w:tcW w:type="dxa" w:w="4536"/>
          </w:tcPr>
          <w:p>
            <w:r>
              <w:rPr>
                <w:rFonts w:ascii="Times New Roman" w:hAnsi="Times New Roman"/>
                <w:sz w:val="20"/>
              </w:rPr>
              <w:t>Probenvolumen</w:t>
            </w:r>
          </w:p>
        </w:tc>
        <w:tc>
          <w:tcPr>
            <w:tcW w:type="dxa" w:w="4536"/>
          </w:tcPr>
          <w:p>
            <w:r>
              <w:rPr>
                <w:rFonts w:ascii="Times New Roman" w:hAnsi="Times New Roman"/>
                <w:sz w:val="20"/>
              </w:rPr>
              <w:t>120 mL (A-Probe 80 mL, B-Probe 40 mL)</w:t>
            </w:r>
          </w:p>
        </w:tc>
      </w:tr>
      <w:tr>
        <w:tc>
          <w:tcPr>
            <w:tcW w:type="dxa" w:w="4536"/>
          </w:tcPr>
          <w:p>
            <w:r>
              <w:rPr>
                <w:rFonts w:ascii="Times New Roman" w:hAnsi="Times New Roman"/>
                <w:sz w:val="20"/>
              </w:rPr>
              <w:t>Proben-ID A-Probe</w:t>
            </w:r>
          </w:p>
        </w:tc>
        <w:tc>
          <w:tcPr>
            <w:tcW w:type="dxa" w:w="4536"/>
          </w:tcPr>
          <w:p>
            <w:r>
              <w:rPr>
                <w:rFonts w:ascii="Times New Roman" w:hAnsi="Times New Roman"/>
                <w:sz w:val="20"/>
              </w:rPr>
              <w:t>NAD-2026-0218-AU-6112-A</w:t>
            </w:r>
          </w:p>
        </w:tc>
      </w:tr>
      <w:tr>
        <w:tc>
          <w:tcPr>
            <w:tcW w:type="dxa" w:w="4536"/>
          </w:tcPr>
          <w:p>
            <w:r>
              <w:rPr>
                <w:rFonts w:ascii="Times New Roman" w:hAnsi="Times New Roman"/>
                <w:sz w:val="20"/>
              </w:rPr>
              <w:t>Proben-ID B-Probe</w:t>
            </w:r>
          </w:p>
        </w:tc>
        <w:tc>
          <w:tcPr>
            <w:tcW w:type="dxa" w:w="4536"/>
          </w:tcPr>
          <w:p>
            <w:r>
              <w:rPr>
                <w:rFonts w:ascii="Times New Roman" w:hAnsi="Times New Roman"/>
                <w:sz w:val="20"/>
              </w:rPr>
              <w:t>NAD-2026-0218-AU-6112-B</w:t>
            </w:r>
          </w:p>
        </w:tc>
      </w:tr>
      <w:tr>
        <w:tc>
          <w:tcPr>
            <w:tcW w:type="dxa" w:w="4536"/>
          </w:tcPr>
          <w:p>
            <w:r>
              <w:rPr>
                <w:rFonts w:ascii="Times New Roman" w:hAnsi="Times New Roman"/>
                <w:sz w:val="20"/>
              </w:rPr>
              <w:t>Versiegelung</w:t>
            </w:r>
          </w:p>
        </w:tc>
        <w:tc>
          <w:tcPr>
            <w:tcW w:type="dxa" w:w="4536"/>
          </w:tcPr>
          <w:p>
            <w:r>
              <w:rPr>
                <w:rFonts w:ascii="Times New Roman" w:hAnsi="Times New Roman"/>
                <w:sz w:val="20"/>
              </w:rPr>
              <w:t>NADA-Standardsiegel, Flaschen-Nr. 6112A und 6112B</w:t>
            </w:r>
          </w:p>
        </w:tc>
      </w:tr>
      <w:tr>
        <w:tc>
          <w:tcPr>
            <w:tcW w:type="dxa" w:w="4536"/>
          </w:tcPr>
          <w:p>
            <w:r>
              <w:rPr>
                <w:rFonts w:ascii="Times New Roman" w:hAnsi="Times New Roman"/>
                <w:sz w:val="20"/>
              </w:rPr>
              <w:t>Spezifisches Gewicht</w:t>
            </w:r>
          </w:p>
        </w:tc>
        <w:tc>
          <w:tcPr>
            <w:tcW w:type="dxa" w:w="4536"/>
          </w:tcPr>
          <w:p>
            <w:r>
              <w:rPr>
                <w:rFonts w:ascii="Times New Roman" w:hAnsi="Times New Roman"/>
                <w:sz w:val="20"/>
              </w:rPr>
              <w:t>1,021 g/mL (innerhalb Normbereich)</w:t>
            </w:r>
          </w:p>
        </w:tc>
      </w:tr>
      <w:tr>
        <w:tc>
          <w:tcPr>
            <w:tcW w:type="dxa" w:w="4536"/>
          </w:tcPr>
          <w:p>
            <w:r>
              <w:rPr>
                <w:rFonts w:ascii="Times New Roman" w:hAnsi="Times New Roman"/>
                <w:sz w:val="20"/>
              </w:rPr>
              <w:t>Unregelmäßigkeiten DCO</w:t>
            </w:r>
          </w:p>
        </w:tc>
        <w:tc>
          <w:tcPr>
            <w:tcW w:type="dxa" w:w="4536"/>
          </w:tcPr>
          <w:p>
            <w:r>
              <w:rPr>
                <w:rFonts w:ascii="Times New Roman" w:hAnsi="Times New Roman"/>
                <w:sz w:val="20"/>
              </w:rPr>
              <w:t>Keine</w:t>
            </w:r>
          </w:p>
        </w:tc>
      </w:tr>
      <w:tr>
        <w:tc>
          <w:tcPr>
            <w:tcW w:type="dxa" w:w="4536"/>
          </w:tcPr>
          <w:p>
            <w:r>
              <w:rPr>
                <w:rFonts w:ascii="Times New Roman" w:hAnsi="Times New Roman"/>
                <w:sz w:val="20"/>
              </w:rPr>
              <w:t>Unterschrift Athletin</w:t>
            </w:r>
          </w:p>
        </w:tc>
        <w:tc>
          <w:tcPr>
            <w:tcW w:type="dxa" w:w="4536"/>
          </w:tcPr>
          <w:p>
            <w:r>
              <w:rPr>
                <w:rFonts w:ascii="Times New Roman" w:hAnsi="Times New Roman"/>
                <w:sz w:val="20"/>
              </w:rPr>
              <w:t>Ja, Probenahme-Formular 18.02.2026</w:t>
            </w:r>
          </w:p>
        </w:tc>
      </w:tr>
    </w:tbl>
    <w:p/>
    <w:p>
      <w:pPr>
        <w:pStyle w:val="Heading2"/>
      </w:pPr>
      <w:r>
        <w:rPr>
          <w:rFonts w:ascii="Times New Roman" w:hAnsi="Times New Roman"/>
        </w:rPr>
        <w:t>2. Laboranalyse A-Probe</w:t>
      </w:r>
    </w:p>
    <w:p>
      <w:pPr>
        <w:pStyle w:val="Heading3"/>
      </w:pPr>
      <w:r>
        <w:rPr>
          <w:rFonts w:ascii="Times New Roman" w:hAnsi="Times New Roman"/>
        </w:rPr>
        <w:t>2.1 Einsendelabor</w:t>
      </w:r>
    </w:p>
    <w:p>
      <w:pPr>
        <w:jc w:val="left"/>
      </w:pPr>
      <w:r>
        <w:rPr>
          <w:b/>
        </w:rPr>
        <w:t>Institut für Biochemie, Deutsche Sporthochschule Köln (DSHS Köln)</w:t>
      </w:r>
    </w:p>
    <w:p>
      <w:pPr>
        <w:jc w:val="left"/>
      </w:pPr>
      <w:r>
        <w:t>Am Sportpark Müngersdorf 6, 50933 Köln</w:t>
      </w:r>
    </w:p>
    <w:p>
      <w:pPr>
        <w:jc w:val="left"/>
      </w:pPr>
      <w:r>
        <w:t>WADA-Akkreditierungsnummer: W-LAB-003</w:t>
      </w:r>
    </w:p>
    <w:p>
      <w:pPr>
        <w:jc w:val="left"/>
      </w:pPr>
      <w:r>
        <w:t>ISO/IEC 17025:2017 zertifiziert</w:t>
      </w:r>
    </w:p>
    <w:p>
      <w:pPr>
        <w:jc w:val="left"/>
      </w:pPr>
      <w:r>
        <w:t>Probeneingang Labor: 20.02.2026, 08:15 Uhr</w:t>
      </w:r>
    </w:p>
    <w:p>
      <w:pPr>
        <w:jc w:val="left"/>
      </w:pPr>
      <w:r>
        <w:t>Analysezeitraum: 20.02.2026 bis 25.02.2026</w:t>
      </w:r>
    </w:p>
    <w:p>
      <w:pPr>
        <w:jc w:val="left"/>
      </w:pPr>
      <w:r>
        <w:t>Analysemethode: LC-MS/MS (Flüssigchromatographie mit Tandem-Massenspektrometrie)</w:t>
      </w:r>
    </w:p>
    <w:p>
      <w:pPr>
        <w:jc w:val="left"/>
      </w:pPr>
      <w:r>
        <w:t>Bestätigungsmethode: LC-HRMS (Hochauflösende Massenspektrometrie)</w:t>
      </w:r>
    </w:p>
    <w:p>
      <w:pPr>
        <w:pStyle w:val="Heading3"/>
      </w:pPr>
      <w:r>
        <w:rPr>
          <w:rFonts w:ascii="Times New Roman" w:hAnsi="Times New Roman"/>
        </w:rPr>
        <w:t>2.2 Befund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Substanz</w:t>
            </w:r>
          </w:p>
        </w:tc>
        <w:tc>
          <w:tcPr>
            <w:tcW w:type="dxa" w:w="2268"/>
          </w:tcPr>
          <w:p>
            <w:r>
              <w:rPr>
                <w:rFonts w:ascii="Times New Roman" w:hAnsi="Times New Roman"/>
                <w:b/>
                <w:sz w:val="20"/>
              </w:rPr>
              <w:t>Kategorie WADA 2026</w:t>
            </w:r>
          </w:p>
        </w:tc>
        <w:tc>
          <w:tcPr>
            <w:tcW w:type="dxa" w:w="2268"/>
          </w:tcPr>
          <w:p>
            <w:r>
              <w:rPr>
                <w:rFonts w:ascii="Times New Roman" w:hAnsi="Times New Roman"/>
                <w:b/>
                <w:sz w:val="20"/>
              </w:rPr>
              <w:t>Analyseergebnis</w:t>
            </w:r>
          </w:p>
        </w:tc>
        <w:tc>
          <w:tcPr>
            <w:tcW w:type="dxa" w:w="2268"/>
          </w:tcPr>
          <w:p>
            <w:r>
              <w:rPr>
                <w:rFonts w:ascii="Times New Roman" w:hAnsi="Times New Roman"/>
                <w:b/>
                <w:sz w:val="20"/>
              </w:rPr>
              <w:t>WADA-Schwellenwert</w:t>
            </w:r>
          </w:p>
        </w:tc>
      </w:tr>
      <w:tr>
        <w:tc>
          <w:tcPr>
            <w:tcW w:type="dxa" w:w="2268"/>
          </w:tcPr>
          <w:p>
            <w:r>
              <w:rPr>
                <w:rFonts w:ascii="Times New Roman" w:hAnsi="Times New Roman"/>
                <w:b/>
                <w:sz w:val="20"/>
              </w:rPr>
              <w:t>Meldonium (3-(2,2,2-trimethylhydrazinyl)propionsäure)</w:t>
            </w:r>
          </w:p>
        </w:tc>
        <w:tc>
          <w:tcPr>
            <w:tcW w:type="dxa" w:w="2268"/>
          </w:tcPr>
          <w:p>
            <w:r>
              <w:rPr>
                <w:rFonts w:ascii="Times New Roman" w:hAnsi="Times New Roman"/>
                <w:sz w:val="20"/>
              </w:rPr>
              <w:t>S4 — Hormone und Stoffwechselmodulatoren</w:t>
            </w:r>
          </w:p>
        </w:tc>
        <w:tc>
          <w:tcPr>
            <w:tcW w:type="dxa" w:w="2268"/>
          </w:tcPr>
          <w:p>
            <w:r>
              <w:rPr>
                <w:rFonts w:ascii="Times New Roman" w:hAnsi="Times New Roman"/>
                <w:b/>
                <w:sz w:val="20"/>
              </w:rPr>
              <w:t>0,54 µg/mL</w:t>
            </w:r>
          </w:p>
        </w:tc>
        <w:tc>
          <w:tcPr>
            <w:tcW w:type="dxa" w:w="2268"/>
          </w:tcPr>
          <w:p>
            <w:r>
              <w:rPr>
                <w:rFonts w:ascii="Times New Roman" w:hAnsi="Times New Roman"/>
                <w:sz w:val="20"/>
              </w:rPr>
              <w:t>0,50 µg/mL</w:t>
            </w:r>
          </w:p>
        </w:tc>
      </w:tr>
      <w:tr>
        <w:tc>
          <w:tcPr>
            <w:tcW w:type="dxa" w:w="2268"/>
          </w:tcPr>
          <w:p>
            <w:r>
              <w:rPr>
                <w:rFonts w:ascii="Times New Roman" w:hAnsi="Times New Roman"/>
                <w:sz w:val="20"/>
              </w:rPr>
              <w:t>Erythropoetin (EPO)</w:t>
            </w:r>
          </w:p>
        </w:tc>
        <w:tc>
          <w:tcPr>
            <w:tcW w:type="dxa" w:w="2268"/>
          </w:tcPr>
          <w:p>
            <w:r>
              <w:rPr>
                <w:rFonts w:ascii="Times New Roman" w:hAnsi="Times New Roman"/>
                <w:sz w:val="20"/>
              </w:rPr>
              <w:t>S2</w:t>
            </w:r>
          </w:p>
        </w:tc>
        <w:tc>
          <w:tcPr>
            <w:tcW w:type="dxa" w:w="2268"/>
          </w:tcPr>
          <w:p>
            <w:r>
              <w:rPr>
                <w:rFonts w:ascii="Times New Roman" w:hAnsi="Times New Roman"/>
                <w:sz w:val="20"/>
              </w:rPr>
              <w:t>Negativ</w:t>
            </w:r>
          </w:p>
        </w:tc>
        <w:tc>
          <w:tcPr>
            <w:tcW w:type="dxa" w:w="2268"/>
          </w:tcPr>
          <w:p>
            <w:r>
              <w:rPr>
                <w:rFonts w:ascii="Times New Roman" w:hAnsi="Times New Roman"/>
                <w:sz w:val="20"/>
              </w:rPr>
              <w:t>—</w:t>
            </w:r>
          </w:p>
        </w:tc>
      </w:tr>
      <w:tr>
        <w:tc>
          <w:tcPr>
            <w:tcW w:type="dxa" w:w="2268"/>
          </w:tcPr>
          <w:p>
            <w:r>
              <w:rPr>
                <w:rFonts w:ascii="Times New Roman" w:hAnsi="Times New Roman"/>
                <w:sz w:val="20"/>
              </w:rPr>
              <w:t>Testosteron/Epitestosteron</w:t>
            </w:r>
          </w:p>
        </w:tc>
        <w:tc>
          <w:tcPr>
            <w:tcW w:type="dxa" w:w="2268"/>
          </w:tcPr>
          <w:p>
            <w:r>
              <w:rPr>
                <w:rFonts w:ascii="Times New Roman" w:hAnsi="Times New Roman"/>
                <w:sz w:val="20"/>
              </w:rPr>
              <w:t>S1</w:t>
            </w:r>
          </w:p>
        </w:tc>
        <w:tc>
          <w:tcPr>
            <w:tcW w:type="dxa" w:w="2268"/>
          </w:tcPr>
          <w:p>
            <w:r>
              <w:rPr>
                <w:rFonts w:ascii="Times New Roman" w:hAnsi="Times New Roman"/>
                <w:sz w:val="20"/>
              </w:rPr>
              <w:t>T/E-Ratio 0,8 (Normbereich)</w:t>
            </w:r>
          </w:p>
        </w:tc>
        <w:tc>
          <w:tcPr>
            <w:tcW w:type="dxa" w:w="2268"/>
          </w:tcPr>
          <w:p>
            <w:r>
              <w:rPr>
                <w:rFonts w:ascii="Times New Roman" w:hAnsi="Times New Roman"/>
                <w:sz w:val="20"/>
              </w:rPr>
              <w:t>—</w:t>
            </w:r>
          </w:p>
        </w:tc>
      </w:tr>
      <w:tr>
        <w:tc>
          <w:tcPr>
            <w:tcW w:type="dxa" w:w="2268"/>
          </w:tcPr>
          <w:p>
            <w:r>
              <w:rPr>
                <w:rFonts w:ascii="Times New Roman" w:hAnsi="Times New Roman"/>
                <w:sz w:val="20"/>
              </w:rPr>
              <w:t>Stimulanzien (Screenpanel)</w:t>
            </w:r>
          </w:p>
        </w:tc>
        <w:tc>
          <w:tcPr>
            <w:tcW w:type="dxa" w:w="2268"/>
          </w:tcPr>
          <w:p>
            <w:r>
              <w:rPr>
                <w:rFonts w:ascii="Times New Roman" w:hAnsi="Times New Roman"/>
                <w:sz w:val="20"/>
              </w:rPr>
              <w:t>S6</w:t>
            </w:r>
          </w:p>
        </w:tc>
        <w:tc>
          <w:tcPr>
            <w:tcW w:type="dxa" w:w="2268"/>
          </w:tcPr>
          <w:p>
            <w:r>
              <w:rPr>
                <w:rFonts w:ascii="Times New Roman" w:hAnsi="Times New Roman"/>
                <w:sz w:val="20"/>
              </w:rPr>
              <w:t>Negativ</w:t>
            </w:r>
          </w:p>
        </w:tc>
        <w:tc>
          <w:tcPr>
            <w:tcW w:type="dxa" w:w="2268"/>
          </w:tcPr>
          <w:p>
            <w:r>
              <w:rPr>
                <w:rFonts w:ascii="Times New Roman" w:hAnsi="Times New Roman"/>
                <w:sz w:val="20"/>
              </w:rPr>
              <w:t>—</w:t>
            </w:r>
          </w:p>
        </w:tc>
      </w:tr>
      <w:tr>
        <w:tc>
          <w:tcPr>
            <w:tcW w:type="dxa" w:w="2268"/>
          </w:tcPr>
          <w:p>
            <w:r>
              <w:rPr>
                <w:rFonts w:ascii="Times New Roman" w:hAnsi="Times New Roman"/>
                <w:sz w:val="20"/>
              </w:rPr>
              <w:t>Diuretika (Screenpanel)</w:t>
            </w:r>
          </w:p>
        </w:tc>
        <w:tc>
          <w:tcPr>
            <w:tcW w:type="dxa" w:w="2268"/>
          </w:tcPr>
          <w:p>
            <w:r>
              <w:rPr>
                <w:rFonts w:ascii="Times New Roman" w:hAnsi="Times New Roman"/>
                <w:sz w:val="20"/>
              </w:rPr>
              <w:t>S5</w:t>
            </w:r>
          </w:p>
        </w:tc>
        <w:tc>
          <w:tcPr>
            <w:tcW w:type="dxa" w:w="2268"/>
          </w:tcPr>
          <w:p>
            <w:r>
              <w:rPr>
                <w:rFonts w:ascii="Times New Roman" w:hAnsi="Times New Roman"/>
                <w:sz w:val="20"/>
              </w:rPr>
              <w:t>Negativ</w:t>
            </w:r>
          </w:p>
        </w:tc>
        <w:tc>
          <w:tcPr>
            <w:tcW w:type="dxa" w:w="2268"/>
          </w:tcPr>
          <w:p>
            <w:r>
              <w:rPr>
                <w:rFonts w:ascii="Times New Roman" w:hAnsi="Times New Roman"/>
                <w:sz w:val="20"/>
              </w:rPr>
              <w:t>—</w:t>
            </w:r>
          </w:p>
        </w:tc>
      </w:tr>
      <w:tr>
        <w:tc>
          <w:tcPr>
            <w:tcW w:type="dxa" w:w="2268"/>
          </w:tcPr>
          <w:p>
            <w:r>
              <w:rPr>
                <w:rFonts w:ascii="Times New Roman" w:hAnsi="Times New Roman"/>
                <w:sz w:val="20"/>
              </w:rPr>
              <w:t>Beta-2-Agonisten</w:t>
            </w:r>
          </w:p>
        </w:tc>
        <w:tc>
          <w:tcPr>
            <w:tcW w:type="dxa" w:w="2268"/>
          </w:tcPr>
          <w:p>
            <w:r>
              <w:rPr>
                <w:rFonts w:ascii="Times New Roman" w:hAnsi="Times New Roman"/>
                <w:sz w:val="20"/>
              </w:rPr>
              <w:t>S3</w:t>
            </w:r>
          </w:p>
        </w:tc>
        <w:tc>
          <w:tcPr>
            <w:tcW w:type="dxa" w:w="2268"/>
          </w:tcPr>
          <w:p>
            <w:r>
              <w:rPr>
                <w:rFonts w:ascii="Times New Roman" w:hAnsi="Times New Roman"/>
                <w:sz w:val="20"/>
              </w:rPr>
              <w:t>Negativ</w:t>
            </w:r>
          </w:p>
        </w:tc>
        <w:tc>
          <w:tcPr>
            <w:tcW w:type="dxa" w:w="2268"/>
          </w:tcPr>
          <w:p>
            <w:r>
              <w:rPr>
                <w:rFonts w:ascii="Times New Roman" w:hAnsi="Times New Roman"/>
                <w:sz w:val="20"/>
              </w:rPr>
              <w:t>—</w:t>
            </w:r>
          </w:p>
        </w:tc>
      </w:tr>
      <w:tr>
        <w:tc>
          <w:tcPr>
            <w:tcW w:type="dxa" w:w="2268"/>
          </w:tcPr>
          <w:p>
            <w:r>
              <w:rPr>
                <w:rFonts w:ascii="Times New Roman" w:hAnsi="Times New Roman"/>
                <w:sz w:val="20"/>
              </w:rPr>
              <w:t>Cannabinoide</w:t>
            </w:r>
          </w:p>
        </w:tc>
        <w:tc>
          <w:tcPr>
            <w:tcW w:type="dxa" w:w="2268"/>
          </w:tcPr>
          <w:p>
            <w:r>
              <w:rPr>
                <w:rFonts w:ascii="Times New Roman" w:hAnsi="Times New Roman"/>
                <w:sz w:val="20"/>
              </w:rPr>
              <w:t>S8</w:t>
            </w:r>
          </w:p>
        </w:tc>
        <w:tc>
          <w:tcPr>
            <w:tcW w:type="dxa" w:w="2268"/>
          </w:tcPr>
          <w:p>
            <w:r>
              <w:rPr>
                <w:rFonts w:ascii="Times New Roman" w:hAnsi="Times New Roman"/>
                <w:sz w:val="20"/>
              </w:rPr>
              <w:t>Negativ</w:t>
            </w:r>
          </w:p>
        </w:tc>
        <w:tc>
          <w:tcPr>
            <w:tcW w:type="dxa" w:w="2268"/>
          </w:tcPr>
          <w:p>
            <w:r>
              <w:rPr>
                <w:rFonts w:ascii="Times New Roman" w:hAnsi="Times New Roman"/>
                <w:sz w:val="20"/>
              </w:rPr>
              <w:t>—</w:t>
            </w:r>
          </w:p>
        </w:tc>
      </w:tr>
      <w:tr>
        <w:tc>
          <w:tcPr>
            <w:tcW w:type="dxa" w:w="2268"/>
          </w:tcPr>
          <w:p>
            <w:r>
              <w:rPr>
                <w:rFonts w:ascii="Times New Roman" w:hAnsi="Times New Roman"/>
                <w:sz w:val="20"/>
              </w:rPr>
              <w:t>Peptide/Wachstumshormone</w:t>
            </w:r>
          </w:p>
        </w:tc>
        <w:tc>
          <w:tcPr>
            <w:tcW w:type="dxa" w:w="2268"/>
          </w:tcPr>
          <w:p>
            <w:r>
              <w:rPr>
                <w:rFonts w:ascii="Times New Roman" w:hAnsi="Times New Roman"/>
                <w:sz w:val="20"/>
              </w:rPr>
              <w:t>S2</w:t>
            </w:r>
          </w:p>
        </w:tc>
        <w:tc>
          <w:tcPr>
            <w:tcW w:type="dxa" w:w="2268"/>
          </w:tcPr>
          <w:p>
            <w:r>
              <w:rPr>
                <w:rFonts w:ascii="Times New Roman" w:hAnsi="Times New Roman"/>
                <w:sz w:val="20"/>
              </w:rPr>
              <w:t>Negativ</w:t>
            </w:r>
          </w:p>
        </w:tc>
        <w:tc>
          <w:tcPr>
            <w:tcW w:type="dxa" w:w="2268"/>
          </w:tcPr>
          <w:p>
            <w:r>
              <w:rPr>
                <w:rFonts w:ascii="Times New Roman" w:hAnsi="Times New Roman"/>
                <w:sz w:val="20"/>
              </w:rPr>
              <w:t>—</w:t>
            </w:r>
          </w:p>
        </w:tc>
      </w:tr>
    </w:tbl>
    <w:p>
      <w:pPr>
        <w:jc w:val="left"/>
      </w:pPr>
      <w:r>
        <w:rPr>
          <w:b/>
        </w:rPr>
        <w:t>Bewertung des Labors:</w:t>
      </w:r>
      <w:r>
        <w:t xml:space="preserve"> Atypischer Befund (Adverse Analytical Finding, AAF) für Meldonium. Befundübermittlung an NADA am 25.02.2026.</w:t>
      </w:r>
    </w:p>
    <w:p/>
    <w:p>
      <w:pPr>
        <w:pStyle w:val="Heading2"/>
      </w:pPr>
      <w:r>
        <w:rPr>
          <w:rFonts w:ascii="Times New Roman" w:hAnsi="Times New Roman"/>
        </w:rPr>
        <w:t>3. NADA-Verfahrensablauf nach Befund</w:t>
      </w:r>
    </w:p>
    <w:p>
      <w:pPr>
        <w:pStyle w:val="Heading3"/>
      </w:pPr>
      <w:r>
        <w:rPr>
          <w:rFonts w:ascii="Times New Roman" w:hAnsi="Times New Roman"/>
        </w:rPr>
        <w:t>3.1 Vorabinformation</w:t>
      </w:r>
    </w:p>
    <w:p>
      <w:pPr>
        <w:jc w:val="left"/>
      </w:pPr>
      <w:r>
        <w:t>NADA hat nach Art. 7.3.2 NADC 2021 die Vorabinformation an die Athletin, an den DHB und an den BSV Sachsen Zwickau gesandt:</w:t>
      </w:r>
    </w:p>
    <w:p>
      <w:pPr>
        <w:pStyle w:val="ListBullet"/>
      </w:pPr>
      <w:r>
        <w:rPr>
          <w:b/>
        </w:rPr>
        <w:t>An Selin Uvalkanat:</w:t>
      </w:r>
      <w:r>
        <w:t xml:space="preserve"> Schreiben vom 27.02.2026, zugestellt 28.02.2026 (Einschreiben Rückschein)</w:t>
      </w:r>
    </w:p>
    <w:p>
      <w:pPr>
        <w:pStyle w:val="ListBullet"/>
      </w:pPr>
      <w:r>
        <w:rPr>
          <w:b/>
        </w:rPr>
        <w:t>An DHB:</w:t>
      </w:r>
      <w:r>
        <w:t xml:space="preserve"> E-Mail vom 27.02.2026, 14:32 Uhr, Dr. Petra Siebenborn (DHB-Justiziarin)</w:t>
      </w:r>
    </w:p>
    <w:p>
      <w:pPr>
        <w:pStyle w:val="ListBullet"/>
      </w:pPr>
      <w:r>
        <w:rPr>
          <w:b/>
        </w:rPr>
        <w:t>An BSV Sachsen Zwickau:</w:t>
      </w:r>
      <w:r>
        <w:t xml:space="preserve"> E-Mail vom 27.02.2026, 14:35 Uhr, Vereinsvorstand</w:t>
      </w:r>
    </w:p>
    <w:p>
      <w:pPr>
        <w:pStyle w:val="Heading3"/>
      </w:pPr>
      <w:r>
        <w:rPr>
          <w:rFonts w:ascii="Times New Roman" w:hAnsi="Times New Roman"/>
        </w:rPr>
        <w:t>3.2 Vorläufige Suspendierung</w:t>
      </w:r>
    </w:p>
    <w:p>
      <w:pPr>
        <w:jc w:val="left"/>
      </w:pPr>
      <w:r>
        <w:t xml:space="preserve">Mit der Vorabinformation sprach NADA gleichzeitig eine </w:t>
      </w:r>
      <w:r>
        <w:rPr>
          <w:b/>
        </w:rPr>
        <w:t>vorläufige Suspendierung</w:t>
      </w:r>
      <w:r>
        <w:t xml:space="preserve"> nach Art. 7.3.2 NADC aus: Wettbewerbsverbot bis zur endgültigen Entscheidung. DHB bestätigt mit Schreiben vom 02.03.2026 die Nichtnominierung zur Länderspielrunde März 2026.</w:t>
      </w:r>
    </w:p>
    <w:p>
      <w:pPr>
        <w:pStyle w:val="Heading3"/>
      </w:pPr>
      <w:r>
        <w:rPr>
          <w:rFonts w:ascii="Times New Roman" w:hAnsi="Times New Roman"/>
        </w:rPr>
        <w:t>3.3 Optionen der Athletin nach Vorabinformation</w:t>
      </w:r>
    </w:p>
    <w:p>
      <w:pPr>
        <w:jc w:val="left"/>
      </w:pPr>
      <w:r>
        <w:t>Nach Art. 7.3.2 NADC konnte die Athletin innerhalb von 10 Tagen:</w:t>
      </w:r>
    </w:p>
    <w:p>
      <w:pPr>
        <w:pStyle w:val="ListBullet"/>
      </w:pPr>
      <w:r>
        <w:t>Die Analyse der B-Probe beantragen (wurde beantragt — s. Aktenstück 04)</w:t>
      </w:r>
    </w:p>
    <w:p>
      <w:pPr>
        <w:pStyle w:val="ListBullet"/>
      </w:pPr>
      <w:r>
        <w:t>Eine Erklärung abgeben (schriftliche Erklärung folgt)</w:t>
      </w:r>
    </w:p>
    <w:p>
      <w:pPr>
        <w:pStyle w:val="ListBullet"/>
      </w:pPr>
      <w:r>
        <w:t>Auf B-Probe verzichten und Tatsache anerkennen (wurde abgelehnt)</w:t>
      </w:r>
    </w:p>
    <w:p/>
    <w:p>
      <w:pPr>
        <w:pStyle w:val="Heading2"/>
      </w:pPr>
      <w:r>
        <w:rPr>
          <w:rFonts w:ascii="Times New Roman" w:hAnsi="Times New Roman"/>
        </w:rPr>
        <w:t>4. Meldonium — Substanzprofil</w:t>
      </w:r>
    </w:p>
    <w:p>
      <w:pPr>
        <w:jc w:val="left"/>
      </w:pPr>
      <w:r>
        <w:t>Meldonium (Handelsnamen: Mildronate, Mildronats, Cardionate) ist ein lettisches Pharmazeutikum zur Behandlung von Herzinsuffizienz und ischämischen Erkrankungen. Es wirkt über eine Hemmung der Carnitin-Biosynthese und soll den Muskelstoffwechsel bei Hypoxie verbessern. In der Sportwelt wird es als Ausdauer-Agens klassifiziert.</w:t>
      </w:r>
    </w:p>
    <w:p>
      <w:pPr>
        <w:jc w:val="left"/>
      </w:pPr>
      <w:r>
        <w:rPr>
          <w:b/>
        </w:rPr>
        <w:t>Historische Bedeutung:</w:t>
      </w:r>
      <w:r>
        <w:t xml:space="preserve"> Meldonium wurde nach mehreren Fällen bei russischen Sportlern (u.a. Marija Scharapowa) zum 01.01.2016 auf die WADA-Verbotsliste gesetzt. Anfangs setzte die WADA keinen Schwellenwert, was zu Folgeproblemen bei Langzeitausscheidern führte. Seit dem 26.09.2022 gilt ein Schwellenwert von 0,50 µg/mL (WADA-Technical-Document TD2022DL).</w:t>
      </w:r>
    </w:p>
    <w:p>
      <w:pPr>
        <w:jc w:val="left"/>
      </w:pPr>
      <w:r>
        <w:rPr>
          <w:b/>
        </w:rPr>
        <w:t>Kontaminationspotenzial:</w:t>
      </w:r>
      <w:r>
        <w:t xml:space="preserve"> Meldonium wird in einigen osteuropäischen Ländern rezeptfrei angeboten und taucht gelegentlich als nicht deklarierter Inhaltsstoff in Nahrungsergänzungsmitteln auf. Die Global DRO-Datenbank (globaldro.com) listet Meldonium als verbotene Substanz ohne Schwellenwert-Kommentar.</w:t>
      </w:r>
    </w:p>
    <w:p/>
    <w:p>
      <w:pPr>
        <w:pStyle w:val="Heading2"/>
      </w:pPr>
      <w:r>
        <w:rPr>
          <w:rFonts w:ascii="Times New Roman" w:hAnsi="Times New Roman"/>
        </w:rPr>
        <w:t>5. Bewertung für das Verfahren</w:t>
      </w:r>
    </w:p>
    <w:p>
      <w:pPr>
        <w:jc w:val="left"/>
      </w:pPr>
      <w:r>
        <w:t xml:space="preserve">Das Messergebnis liegt mit </w:t>
      </w:r>
      <w:r>
        <w:rPr>
          <w:b/>
        </w:rPr>
        <w:t>0,54 µg/mL</w:t>
      </w:r>
      <w:r>
        <w:t xml:space="preserve"> nur knapp (um 8 %) über dem Schwellenwert von 0,50 µg/mL. Dies ist für die Verteidigung von erheblicher Bedeutung:</w:t>
      </w:r>
    </w:p>
    <w:p>
      <w:pPr>
        <w:pStyle w:val="ListNumber"/>
      </w:pPr>
      <w:r>
        <w:rPr>
          <w:b/>
        </w:rPr>
        <w:t>Messungenauigkeit:</w:t>
      </w:r>
      <w:r>
        <w:t xml:space="preserve"> Die WADA-Richtlinien (TD2022MRPL) sehen für Meldonium eine erweiterte Messunsicherheit (expanded measurement uncertainty, U) von typischerweise ±15 % auf. Bei einem Nominalwert von 0,54 µg/mL und U=15 % ergibt sich ein konfidenzbereinigter Wert von 0,459–0,621 µg/mL. Das DSHS Köln wird um Angabe der angewandten U gebeten.</w:t>
      </w:r>
    </w:p>
    <w:p>
      <w:pPr>
        <w:pStyle w:val="ListNumber"/>
      </w:pPr>
      <w:r>
        <w:rPr>
          <w:b/>
        </w:rPr>
        <w:t>Kontaminationsmengen:</w:t>
      </w:r>
      <w:r>
        <w:t xml:space="preserve"> Typische Kontaminationsmengen in Nahrungsergänzungsmitteln liegen zwischen 0,1 und 2,0 mg pro Kapsel; dies kann je nach Einnahmefrequenz und Renal-Clearance zu Urinkonzentrationen im Schwellenwert-Bereich führen.</w:t>
      </w:r>
    </w:p>
    <w:p>
      <w:pPr>
        <w:pStyle w:val="ListNumber"/>
      </w:pPr>
      <w:r>
        <w:rPr>
          <w:b/>
        </w:rPr>
        <w:t>Zeitverlauf:</w:t>
      </w:r>
      <w:r>
        <w:t xml:space="preserve"> Meldonium hat eine Eliminationshalbwertszeit von ca. 10–14 Stunden (akute Einnahme) bis mehrere Wochen (chronische Einnahme durch Gewebeakkumulation). Die letzte Einnahme des Supplements durch Mandantin war lt. eigener Aussage am 17.02.2026 (abends).</w:t>
      </w:r>
    </w:p>
    <w:p>
      <w:pPr>
        <w:jc w:val="left"/>
      </w:pPr>
      <w:r>
        <w:rPr>
          <w:b/>
        </w:rPr>
        <w:t>Verteidigungsstrategie (Zwischenfazit):</w:t>
      </w:r>
      <w:r>
        <w:t xml:space="preserve"> Die geringe Überschreitung des Schwellenwertes, die fehlende Absicht und die plausible Kontaminationsquelle schaffen gute Voraussetzungen für eine Reduzierung der Sperre nach Art. 10.5.1 NADC (kein erhebliches Verschulden) oder sogar Art. 10.5.2 NADC (kein Verschulden). Zielposition: Warnung oder Sperre max. 12 Monate.</w:t>
      </w:r>
    </w:p>
    <w:p/>
    <w:p>
      <w:pPr>
        <w:jc w:val="left"/>
      </w:pPr>
      <w:r>
        <w:rPr>
          <w:i/>
        </w:rPr>
        <w:t>Quellen: NADC 2021 Art. 2.1, 7.3, 10.2, 10.5; WADA TD2022DL (Schwellenwert Meldonium); WADA TD2022MRPL (Messunsicherheit); DSHS Köln Akkreditierungsunterlagen; WADA Global DRO (globaldro.com).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