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B-Probe: Analyse und Ergebnis, 04.03.2026</w:t>
      </w:r>
    </w:p>
    <w:p>
      <w:pPr>
        <w:jc w:val="left"/>
      </w:pPr>
      <w:r>
        <w:rPr>
          <w:b/>
        </w:rPr>
        <w:t>Erstellt:</w:t>
      </w:r>
      <w:r>
        <w:t xml:space="preserve"> 05.03.2026</w:t>
      </w:r>
    </w:p>
    <w:p>
      <w:pPr>
        <w:jc w:val="left"/>
      </w:pPr>
      <w:r>
        <w:rPr>
          <w:b/>
        </w:rPr>
        <w:t>Bearbeiter:</w:t>
      </w:r>
      <w:r>
        <w:t xml:space="preserve"> RA Prof. Dr. Markus Lentze</w:t>
      </w:r>
    </w:p>
    <w:p>
      <w:pPr>
        <w:jc w:val="left"/>
      </w:pPr>
      <w:r>
        <w:rPr>
          <w:b/>
        </w:rPr>
        <w:t>AZ:</w:t>
      </w:r>
      <w:r>
        <w:t xml:space="preserve"> SU/DOPING/2026-001</w:t>
      </w:r>
    </w:p>
    <w:p/>
    <w:p>
      <w:pPr>
        <w:pStyle w:val="Heading2"/>
      </w:pPr>
      <w:r>
        <w:rPr>
          <w:rFonts w:ascii="Times New Roman" w:hAnsi="Times New Roman"/>
        </w:rPr>
        <w:t>1. Beantragung der B-Probe-Analyse</w:t>
      </w:r>
    </w:p>
    <w:p>
      <w:pPr>
        <w:jc w:val="left"/>
      </w:pPr>
      <w:r>
        <w:t>Mit anwaltlichem Schreiben vom 01.03.2026 (per Fax und E-Mail) beantragte RA Prof. Dr. Lentze bei NADA Bonn fristgerecht die Öffnung und Analyse der B-Probe gemäß Art. 7.3.2 NADC 2021. Der Antrag enthielt folgende Bitten:</w:t>
      </w:r>
    </w:p>
    <w:p>
      <w:pPr>
        <w:pStyle w:val="ListBullet"/>
      </w:pPr>
      <w:r>
        <w:t>Zeitpunkt der Öffnung: so früh wie möglich, frühestens 03.03.2026</w:t>
      </w:r>
    </w:p>
    <w:p>
      <w:pPr>
        <w:pStyle w:val="ListBullet"/>
      </w:pPr>
      <w:r>
        <w:t>Anwesenheit: Parteisachverständiger Prof. Dr. Stefan Kempa (Toxikologie, Universität Mainz) sowie RA Jürgen Speier (Vor-Ort-Vertreter Stuttgart/Köln) sollen anwesend sein</w:t>
      </w:r>
    </w:p>
    <w:p>
      <w:pPr>
        <w:pStyle w:val="ListBullet"/>
      </w:pPr>
      <w:r>
        <w:t>Videoaufzeichnung des Öffnungsvorgangs (Antrag; DSHS Köln bestätigte Zulässigkeit)</w:t>
      </w:r>
    </w:p>
    <w:p>
      <w:pPr>
        <w:pStyle w:val="ListBullet"/>
      </w:pPr>
      <w:r>
        <w:t>Schriftliche Mitteilung des Labors über die angewandte Analysemethode und Messunsicherheit (U)</w:t>
      </w:r>
    </w:p>
    <w:p>
      <w:pPr>
        <w:jc w:val="left"/>
      </w:pPr>
      <w:r>
        <w:t xml:space="preserve">NADA bestätigte mit E-Mail vom 02.03.2026, 10:44 Uhr: B-Proben-Öffnung am </w:t>
      </w:r>
      <w:r>
        <w:rPr>
          <w:b/>
        </w:rPr>
        <w:t>04.03.2026 um 10:00 Uhr</w:t>
      </w:r>
      <w:r>
        <w:t xml:space="preserve"> im Institut für Biochemie, DSHS Köln.</w:t>
      </w:r>
    </w:p>
    <w:p/>
    <w:p>
      <w:pPr>
        <w:pStyle w:val="Heading2"/>
      </w:pPr>
      <w:r>
        <w:rPr>
          <w:rFonts w:ascii="Times New Roman" w:hAnsi="Times New Roman"/>
        </w:rPr>
        <w:t>2. B-Proben-Öffnung und -Analyse</w:t>
      </w:r>
    </w:p>
    <w:p>
      <w:pPr>
        <w:pStyle w:val="Heading3"/>
      </w:pPr>
      <w:r>
        <w:rPr>
          <w:rFonts w:ascii="Times New Roman" w:hAnsi="Times New Roman"/>
        </w:rPr>
        <w:t>2.1 Ablauf</w:t>
      </w:r>
    </w:p>
    <w:p>
      <w:pPr>
        <w:jc w:val="left"/>
      </w:pPr>
      <w:r>
        <w:t>Anwesend bei der Öffnung am 04.03.2026:</w:t>
      </w:r>
    </w:p>
    <w:p>
      <w:pPr>
        <w:pStyle w:val="ListBullet"/>
      </w:pPr>
      <w:r>
        <w:t>Dr. Lukas Frey (DSHS Köln, Laborleiter, Zeuge der Öffnung)</w:t>
      </w:r>
    </w:p>
    <w:p>
      <w:pPr>
        <w:pStyle w:val="ListBullet"/>
      </w:pPr>
      <w:r>
        <w:t>Dr. Anette Krüger (DSHS Köln, Analytikerin)</w:t>
      </w:r>
    </w:p>
    <w:p>
      <w:pPr>
        <w:pStyle w:val="ListBullet"/>
      </w:pPr>
      <w:r>
        <w:t>Prof. Dr. Stefan Kempa (Parteisachverständiger Mandantin)</w:t>
      </w:r>
    </w:p>
    <w:p>
      <w:pPr>
        <w:pStyle w:val="ListBullet"/>
      </w:pPr>
      <w:r>
        <w:t>RA Jürgen Speier (Anwalt vor Ort, Lentze Stopper &amp; Partner)</w:t>
      </w:r>
    </w:p>
    <w:p>
      <w:pPr>
        <w:pStyle w:val="ListBullet"/>
      </w:pPr>
      <w:r>
        <w:t>Sven Hartmann (NADA-Beauftragter, Beobachter)</w:t>
      </w:r>
    </w:p>
    <w:p>
      <w:pPr>
        <w:jc w:val="left"/>
      </w:pPr>
      <w:r>
        <w:t>Siegel B-Flasche (Nr. 6112B): unversehrt, Versiegelungscode stimmt mit Probenahme-Formular überein. Prof. Dr. Kempa dokumentierte Zustand Siegel und Flasche fotografisch vor Öffnung.</w:t>
      </w:r>
    </w:p>
    <w:p>
      <w:pPr>
        <w:jc w:val="left"/>
      </w:pPr>
      <w:r>
        <w:t>Analysedauer: ca. 6 Stunden.</w:t>
      </w:r>
    </w:p>
    <w:p>
      <w:pPr>
        <w:pStyle w:val="Heading3"/>
      </w:pPr>
      <w:r>
        <w:rPr>
          <w:rFonts w:ascii="Times New Roman" w:hAnsi="Times New Roman"/>
        </w:rPr>
        <w:t>2.2 Ergebnis</w:t>
      </w:r>
    </w:p>
    <w:p>
      <w:pPr>
        <w:jc w:val="left"/>
      </w:pPr>
      <w:r>
        <w:rPr>
          <w:b/>
        </w:rPr>
        <w:t>Bestätigung des A-Probe-Befundes.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B-Probe 04.03.2026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Substanz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Meldonium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Analyseergebnis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0,52 µg/mL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Messunsicherheit U (k=2, 95 %)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±0,06 µg/mL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Konformes Ergebnis zur A-Probe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(Differenz 0,02 µg/mL innerhalb Labor-Toleranz)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WADA-Schwellenwert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0,50 µg/mL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Befund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Positiv (AAF bestätigt)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Weitere verbotene Substanzen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nachgewiesen</w:t>
            </w:r>
          </w:p>
        </w:tc>
      </w:tr>
    </w:tbl>
    <w:p>
      <w:pPr>
        <w:jc w:val="left"/>
      </w:pPr>
      <w:r>
        <w:t>Prof. Dr. Kempa notierte im Protokoll: „Die Messwerte beider Proben liegen sehr nahe am Schwellenwert. Die angegebene Messunsicherheit U=±0,06 µg/mL (11 %) ist plausibel. Unter Berücksichtigung dieser Unsicherheit ist ein Realwert unterhalb des Schwellenwerts rechnerisch möglich, aber nicht mit hinreichender Sicherheit nachweisbar. Dies sollte bei der Bewertung der Schuldlosigkeit berücksichtigt werden."</w:t>
      </w:r>
    </w:p>
    <w:p/>
    <w:p>
      <w:pPr>
        <w:pStyle w:val="Heading2"/>
      </w:pPr>
      <w:r>
        <w:rPr>
          <w:rFonts w:ascii="Times New Roman" w:hAnsi="Times New Roman"/>
        </w:rPr>
        <w:t>3. Rechtliche Bewertung der B-Probe-Ergebnisse</w:t>
      </w:r>
    </w:p>
    <w:p>
      <w:pPr>
        <w:pStyle w:val="Heading3"/>
      </w:pPr>
      <w:r>
        <w:rPr>
          <w:rFonts w:ascii="Times New Roman" w:hAnsi="Times New Roman"/>
        </w:rPr>
        <w:t>3.1 Verfahrensmäßige Konsequenzen</w:t>
      </w:r>
    </w:p>
    <w:p>
      <w:pPr>
        <w:jc w:val="left"/>
      </w:pPr>
      <w:r>
        <w:t xml:space="preserve">Mit der Bestätigung der B-Probe ist nach Art. 7.3.3 NADC 2021 der </w:t>
      </w:r>
      <w:r>
        <w:rPr>
          <w:b/>
        </w:rPr>
        <w:t>Anti-Doping-Regelverstoß (ADRV) formell festgestellt</w:t>
      </w:r>
      <w:r>
        <w:t>. NADA leitet den Fall an das zuständige Sportfachverband (DHB) und das Deutsche Sportschiedsgericht weiter.</w:t>
      </w:r>
    </w:p>
    <w:p>
      <w:pPr>
        <w:jc w:val="left"/>
      </w:pPr>
      <w:r>
        <w:t>Für die Mandantin bedeutet dies:</w:t>
      </w:r>
    </w:p>
    <w:p>
      <w:pPr>
        <w:pStyle w:val="ListBullet"/>
      </w:pPr>
      <w:r>
        <w:t>Die vorläufige Suspendierung bleibt in Kraft</w:t>
      </w:r>
    </w:p>
    <w:p>
      <w:pPr>
        <w:pStyle w:val="ListBullet"/>
      </w:pPr>
      <w:r>
        <w:t>Das Ergebnis wird an WADA und WADA-Informationssystem ADAMS gemeldet</w:t>
      </w:r>
    </w:p>
    <w:p>
      <w:pPr>
        <w:pStyle w:val="ListBullet"/>
      </w:pPr>
      <w:r>
        <w:t>DHB eröffnet das formelle Disziplinarverfahren</w:t>
      </w:r>
    </w:p>
    <w:p>
      <w:pPr>
        <w:pStyle w:val="ListBullet"/>
      </w:pPr>
      <w:r>
        <w:t>Schiedsgericht: Deutsches Sportschiedsgericht (DIS-SportSchO), Ernennung einer Spruchkammer</w:t>
      </w:r>
    </w:p>
    <w:p>
      <w:pPr>
        <w:pStyle w:val="Heading3"/>
      </w:pPr>
      <w:r>
        <w:rPr>
          <w:rFonts w:ascii="Times New Roman" w:hAnsi="Times New Roman"/>
        </w:rPr>
        <w:t>3.2 Messunsicherheit als Verteidigungsargument</w:t>
      </w:r>
    </w:p>
    <w:p>
      <w:pPr>
        <w:jc w:val="left"/>
      </w:pPr>
      <w:r>
        <w:t>Prof. Dr. Kempa wird ein schriftliches Gutachten erstellen, das folgende Punkte enthält:</w:t>
      </w:r>
    </w:p>
    <w:p>
      <w:pPr>
        <w:jc w:val="left"/>
      </w:pPr>
      <w:r>
        <w:rPr>
          <w:b/>
        </w:rPr>
        <w:t>a) Messunsicherheitsanalyse:</w:t>
      </w:r>
      <w:r>
        <w:t xml:space="preserve"> Bei einem Nominalwert von 0,52 µg/mL (B-Probe) und U=±0,06 µg/mL liegt der konfidenzintervallbereinigte Minimalwert bei 0,46 µg/mL — was unterhalb des Schwellenwerts von 0,50 µg/mL liegt. Zwar ist dies nach WADA-Standards kein Freifahrtschein (der Schwellenwert gilt für den Messwert, nicht für das Konfidenzintervall), aber es zeigt die Grenzsituation.</w:t>
      </w:r>
    </w:p>
    <w:p>
      <w:pPr>
        <w:jc w:val="left"/>
      </w:pPr>
      <w:r>
        <w:rPr>
          <w:b/>
        </w:rPr>
        <w:t>b) Kontaminationsplausibilität:</w:t>
      </w:r>
      <w:r>
        <w:t xml:space="preserve"> Bei einer typischen Kontaminationskonzentration von 0,5–2,0 mg Meldonium pro Kapsel und täglicher Einnahme von 2 Kapseln über 4 Monate sind die gemessenen Konzentrationen konsistent mit einer unbeabsichtigten Supplement-Kontamination. Vergleichswerte aus dem Literatur-Review: Shahar et al. (2019) berichten Meldonium-Spurenbefunde in 3,2 % der getesteten Nahrungsergänzungsmittel in Osteuropa.</w:t>
      </w:r>
    </w:p>
    <w:p>
      <w:pPr>
        <w:jc w:val="left"/>
      </w:pPr>
      <w:r>
        <w:rPr>
          <w:b/>
        </w:rPr>
        <w:t>c) Halbwertszeit und Zeitprofil:</w:t>
      </w:r>
      <w:r>
        <w:t xml:space="preserve"> Letzter Einnahmezeitpunkt lt. Mandantin: 17.02.2026, abends. Kontrollzeitpunkt: 18.02.2026, 09:28 Uhr — also ca. 13 Stunden später. Bei Halbwertszeit 10–13 Stunden (kurzzeitige Einnahme) ergibt sich eine Konzentrationsreduktion um ~50 % gegenüber dem Spitzenwert. Dies spricht gegen eine akute, absichtliche Einnahme unmittelbar vor der Kontrolle.</w:t>
      </w:r>
    </w:p>
    <w:p/>
    <w:p>
      <w:pPr>
        <w:pStyle w:val="Heading2"/>
      </w:pPr>
      <w:r>
        <w:rPr>
          <w:rFonts w:ascii="Times New Roman" w:hAnsi="Times New Roman"/>
        </w:rPr>
        <w:t>4. Stellungnahme NADA nach B-Probe</w:t>
      </w:r>
    </w:p>
    <w:p>
      <w:pPr>
        <w:jc w:val="left"/>
      </w:pPr>
      <w:r>
        <w:t>NADA schickte am 06.03.2026 ein Schreiben an Lentze, Stopper &amp; Partner, in dem sie</w:t>
      </w:r>
    </w:p>
    <w:p>
      <w:pPr>
        <w:pStyle w:val="ListBullet"/>
      </w:pPr>
      <w:r>
        <w:t>den AAF formal bestätigte,</w:t>
      </w:r>
    </w:p>
    <w:p>
      <w:pPr>
        <w:pStyle w:val="ListBullet"/>
      </w:pPr>
      <w:r>
        <w:t>die vorläufige Suspendierung aufrecht erhielt,</w:t>
      </w:r>
    </w:p>
    <w:p>
      <w:pPr>
        <w:pStyle w:val="ListBullet"/>
      </w:pPr>
      <w:r>
        <w:t>die Übergabe an die zuständige Spruchkammer des Deutschen Sportschiedsgerichts ankündigte,</w:t>
      </w:r>
    </w:p>
    <w:p>
      <w:pPr>
        <w:pStyle w:val="ListBullet"/>
      </w:pPr>
      <w:r>
        <w:t>der Mandantin die Möglichkeit einräumte, innerhalb von 20 Tagen eine schriftliche Erklärung einzureichen (Deadline: 26.03.2026).</w:t>
      </w:r>
    </w:p>
    <w:p/>
    <w:p>
      <w:pPr>
        <w:pStyle w:val="Heading2"/>
      </w:pPr>
      <w:r>
        <w:rPr>
          <w:rFonts w:ascii="Times New Roman" w:hAnsi="Times New Roman"/>
        </w:rPr>
        <w:t>5. Nächste Schritte</w:t>
      </w:r>
    </w:p>
    <w:p>
      <w:pPr>
        <w:pStyle w:val="ListNumber"/>
      </w:pPr>
      <w:r>
        <w:rPr>
          <w:b/>
        </w:rPr>
        <w:t>Schriftliche Erklärung</w:t>
      </w:r>
      <w:r>
        <w:t xml:space="preserve"> nach Art. 7.3.5 NADC an NADA bis 26.03.2026: Darlegung der Kontaminationsthese, Übermittlung Supplement-Proben-Analyseergebnisse</w:t>
      </w:r>
    </w:p>
    <w:p>
      <w:pPr>
        <w:pStyle w:val="ListNumber"/>
      </w:pPr>
      <w:r>
        <w:rPr>
          <w:b/>
        </w:rPr>
        <w:t>Parteigutachten Kempa:</w:t>
      </w:r>
      <w:r>
        <w:t xml:space="preserve"> Beauftragung formell am 05.03.2026, Abgabetermin: 20.03.2026</w:t>
      </w:r>
    </w:p>
    <w:p>
      <w:pPr>
        <w:pStyle w:val="ListNumber"/>
      </w:pPr>
      <w:r>
        <w:rPr>
          <w:b/>
        </w:rPr>
        <w:t>Supplement-Labor:</w:t>
      </w:r>
      <w:r>
        <w:t xml:space="preserve"> Beauftragung ISURA/LGC-Standards-Labor Hamburg für Chargenanalyse Charge 22-4188 (s. Aktenstück 07)</w:t>
      </w:r>
    </w:p>
    <w:p>
      <w:pPr>
        <w:pStyle w:val="ListNumber"/>
      </w:pPr>
      <w:r>
        <w:rPr>
          <w:b/>
        </w:rPr>
        <w:t>Öffentlichkeitsarbeit:</w:t>
      </w:r>
      <w:r>
        <w:t xml:space="preserve"> Kanzlei-Statement vom 09.03.2026 (bereits veröffentlicht): „Mandantin weist Dopingvorwurf entschieden zurück — Untersuchungen zur Kontaminationsquelle laufen"</w:t>
      </w:r>
    </w:p>
    <w:p/>
    <w:p>
      <w:pPr>
        <w:jc w:val="left"/>
      </w:pPr>
      <w:r>
        <w:rPr>
          <w:i/>
        </w:rPr>
        <w:t>Quellen: NADC 2021 Art. 7.3.2, 7.3.3, 7.3.5; WADA TD2022DL; WADA-Richtlinien Laboranalyse; DSHS Köln Analyseprotokoll B-Probe NAD-2026-0218-AU-6112-B; Kempa-Notizen 04.03.2026.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