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05 — Verbotsliste S4: Meldonium und Rechtslage 2026</w:t>
      </w:r>
    </w:p>
    <w:p>
      <w:pPr>
        <w:jc w:val="left"/>
      </w:pPr>
      <w:r>
        <w:rPr>
          <w:b/>
        </w:rPr>
        <w:t>Erstellt:</w:t>
      </w:r>
      <w:r>
        <w:t xml:space="preserve"> 10.03.2026</w:t>
      </w:r>
    </w:p>
    <w:p>
      <w:pPr>
        <w:jc w:val="left"/>
      </w:pPr>
      <w:r>
        <w:rPr>
          <w:b/>
        </w:rPr>
        <w:t>Bearbeiter:</w:t>
      </w:r>
      <w:r>
        <w:t xml:space="preserve"> RA Prof. Dr. Markus Lentze</w:t>
      </w:r>
    </w:p>
    <w:p>
      <w:pPr>
        <w:jc w:val="left"/>
      </w:pPr>
      <w:r>
        <w:rPr>
          <w:b/>
        </w:rPr>
        <w:t>AZ:</w:t>
      </w:r>
      <w:r>
        <w:t xml:space="preserve"> SU/DOPING/2026-001</w:t>
      </w:r>
    </w:p>
    <w:p/>
    <w:p>
      <w:pPr>
        <w:pStyle w:val="Heading2"/>
      </w:pPr>
      <w:r>
        <w:rPr>
          <w:rFonts w:ascii="Times New Roman" w:hAnsi="Times New Roman"/>
        </w:rPr>
        <w:t>1. WADA-Verbotsliste 2026 — Kategorie S4</w:t>
      </w:r>
    </w:p>
    <w:p>
      <w:pPr>
        <w:pStyle w:val="Heading3"/>
      </w:pPr>
      <w:r>
        <w:rPr>
          <w:rFonts w:ascii="Times New Roman" w:hAnsi="Times New Roman"/>
        </w:rPr>
        <w:t>1.1 Rechtlicher Rahmen</w:t>
      </w:r>
    </w:p>
    <w:p>
      <w:pPr>
        <w:jc w:val="left"/>
      </w:pPr>
      <w:r>
        <w:t xml:space="preserve">Die </w:t>
      </w:r>
      <w:r>
        <w:rPr>
          <w:b/>
        </w:rPr>
        <w:t>WADA-Verbotsliste</w:t>
      </w:r>
      <w:r>
        <w:t xml:space="preserve"> (offiziell: „The 2026 Prohibited List, World Anti-Doping Code International Standard") ist das zentrale normative Instrument des internationalen Anti-Doping-Rechts. Sie wird jährlich zum 01. Januar aktualisiert und gilt als </w:t>
      </w:r>
      <w:r>
        <w:rPr>
          <w:b/>
        </w:rPr>
        <w:t>verbindliches International Standard</w:t>
      </w:r>
      <w:r>
        <w:t xml:space="preserve"> nach Art. 4.1 WADC 2021.</w:t>
      </w:r>
    </w:p>
    <w:p>
      <w:pPr>
        <w:jc w:val="left"/>
      </w:pPr>
      <w:r>
        <w:t xml:space="preserve">In Deutschland ist die Verbotsliste über den </w:t>
      </w:r>
      <w:r>
        <w:rPr>
          <w:b/>
        </w:rPr>
        <w:t>NADC 2021</w:t>
      </w:r>
      <w:r>
        <w:t xml:space="preserve"> (Nationaler Anti-Doping Code, beschlossen durch den DOSB) in das nationale Sportrecht inkorporiert. Art. 4.2.1 NADC 2021 erklärt die jeweils aktuelle WADA-Verbotsliste zum zwingenden Bestandteil des deutschen Anti-Doping-Rechts. Für Athletinnen im DHB-Kader gilt die NADC-Fassung kraft Verbandssatzung (§ 8 DHB-Anti-Doping-Richtlinien, Stand: 2023).</w:t>
      </w:r>
    </w:p>
    <w:p>
      <w:pPr>
        <w:pStyle w:val="Heading3"/>
      </w:pPr>
      <w:r>
        <w:rPr>
          <w:rFonts w:ascii="Times New Roman" w:hAnsi="Times New Roman"/>
        </w:rPr>
        <w:t>1.2 Kategorie S4: Hormone und Stoffwechselmodulatoren</w:t>
      </w:r>
    </w:p>
    <w:p>
      <w:pPr>
        <w:jc w:val="left"/>
      </w:pPr>
      <w:r>
        <w:t>Kategorie S4 der WADA-Verbotsliste 2026 umfasst folgende Untergruppen: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Untergruppe</w:t>
            </w:r>
          </w:p>
        </w:tc>
        <w:tc>
          <w:tcPr>
            <w:tcW w:type="dxa" w:w="3024"/>
          </w:tcPr>
          <w:p>
            <w:r>
              <w:rPr>
                <w:rFonts w:ascii="Times New Roman" w:hAnsi="Times New Roman"/>
                <w:b/>
                <w:sz w:val="20"/>
              </w:rPr>
              <w:t>Beispiele</w:t>
            </w:r>
          </w:p>
        </w:tc>
        <w:tc>
          <w:tcPr>
            <w:tcW w:type="dxa" w:w="3024"/>
          </w:tcPr>
          <w:p>
            <w:r>
              <w:rPr>
                <w:rFonts w:ascii="Times New Roman" w:hAnsi="Times New Roman"/>
                <w:b/>
                <w:sz w:val="20"/>
              </w:rPr>
              <w:t>Anwendung</w:t>
            </w:r>
          </w:p>
        </w:tc>
      </w:tr>
      <w:tr>
        <w:tc>
          <w:tcPr>
            <w:tcW w:type="dxa" w:w="3024"/>
          </w:tcPr>
          <w:p>
            <w:r>
              <w:rPr>
                <w:rFonts w:ascii="Times New Roman" w:hAnsi="Times New Roman"/>
                <w:sz w:val="20"/>
              </w:rPr>
              <w:t>S4.1 Aromatase-Inhibitoren</w:t>
            </w:r>
          </w:p>
        </w:tc>
        <w:tc>
          <w:tcPr>
            <w:tcW w:type="dxa" w:w="3024"/>
          </w:tcPr>
          <w:p>
            <w:r>
              <w:rPr>
                <w:rFonts w:ascii="Times New Roman" w:hAnsi="Times New Roman"/>
                <w:sz w:val="20"/>
              </w:rPr>
              <w:t>Anastrozol, Letrozol</w:t>
            </w:r>
          </w:p>
        </w:tc>
        <w:tc>
          <w:tcPr>
            <w:tcW w:type="dxa" w:w="3024"/>
          </w:tcPr>
          <w:p>
            <w:r>
              <w:rPr>
                <w:rFonts w:ascii="Times New Roman" w:hAnsi="Times New Roman"/>
                <w:sz w:val="20"/>
              </w:rPr>
              <w:t>Östrogen-Reduktion</w:t>
            </w:r>
          </w:p>
        </w:tc>
      </w:tr>
      <w:tr>
        <w:tc>
          <w:tcPr>
            <w:tcW w:type="dxa" w:w="3024"/>
          </w:tcPr>
          <w:p>
            <w:r>
              <w:rPr>
                <w:rFonts w:ascii="Times New Roman" w:hAnsi="Times New Roman"/>
                <w:sz w:val="20"/>
              </w:rPr>
              <w:t>S4.2 Selektive Östrogen-Rezeptor-Modulatoren (SERM)</w:t>
            </w:r>
          </w:p>
        </w:tc>
        <w:tc>
          <w:tcPr>
            <w:tcW w:type="dxa" w:w="3024"/>
          </w:tcPr>
          <w:p>
            <w:r>
              <w:rPr>
                <w:rFonts w:ascii="Times New Roman" w:hAnsi="Times New Roman"/>
                <w:sz w:val="20"/>
              </w:rPr>
              <w:t>Tamoxifen, Raloxifen</w:t>
            </w:r>
          </w:p>
        </w:tc>
        <w:tc>
          <w:tcPr>
            <w:tcW w:type="dxa" w:w="3024"/>
          </w:tcPr>
          <w:p>
            <w:r>
              <w:rPr>
                <w:rFonts w:ascii="Times New Roman" w:hAnsi="Times New Roman"/>
                <w:sz w:val="20"/>
              </w:rPr>
              <w:t>Anti-Östrogeneffekte</w:t>
            </w:r>
          </w:p>
        </w:tc>
      </w:tr>
      <w:tr>
        <w:tc>
          <w:tcPr>
            <w:tcW w:type="dxa" w:w="3024"/>
          </w:tcPr>
          <w:p>
            <w:r>
              <w:rPr>
                <w:rFonts w:ascii="Times New Roman" w:hAnsi="Times New Roman"/>
                <w:sz w:val="20"/>
              </w:rPr>
              <w:t>S4.3 Andere Anti-Östrogene</w:t>
            </w:r>
          </w:p>
        </w:tc>
        <w:tc>
          <w:tcPr>
            <w:tcW w:type="dxa" w:w="3024"/>
          </w:tcPr>
          <w:p>
            <w:r>
              <w:rPr>
                <w:rFonts w:ascii="Times New Roman" w:hAnsi="Times New Roman"/>
                <w:sz w:val="20"/>
              </w:rPr>
              <w:t>Clomiphen, Cyclofenil</w:t>
            </w:r>
          </w:p>
        </w:tc>
        <w:tc>
          <w:tcPr>
            <w:tcW w:type="dxa" w:w="3024"/>
          </w:tcPr>
          <w:p>
            <w:r>
              <w:rPr>
                <w:rFonts w:ascii="Times New Roman" w:hAnsi="Times New Roman"/>
                <w:sz w:val="20"/>
              </w:rPr>
              <w:t>Endokrine Manipulation</w:t>
            </w:r>
          </w:p>
        </w:tc>
      </w:tr>
      <w:tr>
        <w:tc>
          <w:tcPr>
            <w:tcW w:type="dxa" w:w="3024"/>
          </w:tcPr>
          <w:p>
            <w:r>
              <w:rPr>
                <w:rFonts w:ascii="Times New Roman" w:hAnsi="Times New Roman"/>
                <w:sz w:val="20"/>
              </w:rPr>
              <w:t>S4.4 Myostatin-Inhibitoren</w:t>
            </w:r>
          </w:p>
        </w:tc>
        <w:tc>
          <w:tcPr>
            <w:tcW w:type="dxa" w:w="3024"/>
          </w:tcPr>
          <w:p>
            <w:r>
              <w:rPr>
                <w:rFonts w:ascii="Times New Roman" w:hAnsi="Times New Roman"/>
                <w:sz w:val="20"/>
              </w:rPr>
              <w:t>Stamulumab</w:t>
            </w:r>
          </w:p>
        </w:tc>
        <w:tc>
          <w:tcPr>
            <w:tcW w:type="dxa" w:w="3024"/>
          </w:tcPr>
          <w:p>
            <w:r>
              <w:rPr>
                <w:rFonts w:ascii="Times New Roman" w:hAnsi="Times New Roman"/>
                <w:sz w:val="20"/>
              </w:rPr>
              <w:t>Muskelmasseerhöhung</w:t>
            </w:r>
          </w:p>
        </w:tc>
      </w:tr>
      <w:tr>
        <w:tc>
          <w:tcPr>
            <w:tcW w:type="dxa" w:w="3024"/>
          </w:tcPr>
          <w:p>
            <w:r>
              <w:rPr>
                <w:rFonts w:ascii="Times New Roman" w:hAnsi="Times New Roman"/>
                <w:b/>
                <w:sz w:val="20"/>
              </w:rPr>
              <w:t>S4.5 Metabolische Modulatoren</w:t>
            </w:r>
          </w:p>
        </w:tc>
        <w:tc>
          <w:tcPr>
            <w:tcW w:type="dxa" w:w="3024"/>
          </w:tcPr>
          <w:p>
            <w:r>
              <w:rPr>
                <w:rFonts w:ascii="Times New Roman" w:hAnsi="Times New Roman"/>
                <w:b/>
                <w:sz w:val="20"/>
              </w:rPr>
              <w:t>Meldonium</w:t>
            </w:r>
            <w:r>
              <w:rPr>
                <w:rFonts w:ascii="Times New Roman" w:hAnsi="Times New Roman"/>
                <w:sz w:val="20"/>
              </w:rPr>
              <w:t>, Trimetazidin, GW1516, AICAR</w:t>
            </w:r>
          </w:p>
        </w:tc>
        <w:tc>
          <w:tcPr>
            <w:tcW w:type="dxa" w:w="3024"/>
          </w:tcPr>
          <w:p>
            <w:r>
              <w:rPr>
                <w:rFonts w:ascii="Times New Roman" w:hAnsi="Times New Roman"/>
                <w:b/>
                <w:sz w:val="20"/>
              </w:rPr>
              <w:t>Ausdauer, Energiestoffwechsel</w:t>
            </w:r>
          </w:p>
        </w:tc>
      </w:tr>
      <w:tr>
        <w:tc>
          <w:tcPr>
            <w:tcW w:type="dxa" w:w="3024"/>
          </w:tcPr>
          <w:p>
            <w:r>
              <w:rPr>
                <w:rFonts w:ascii="Times New Roman" w:hAnsi="Times New Roman"/>
                <w:sz w:val="20"/>
              </w:rPr>
              <w:t>S4.5 Insuline</w:t>
            </w:r>
          </w:p>
        </w:tc>
        <w:tc>
          <w:tcPr>
            <w:tcW w:type="dxa" w:w="3024"/>
          </w:tcPr>
          <w:p>
            <w:r>
              <w:rPr>
                <w:rFonts w:ascii="Times New Roman" w:hAnsi="Times New Roman"/>
                <w:sz w:val="20"/>
              </w:rPr>
              <w:t>Insulin, verwandte Analoga</w:t>
            </w:r>
          </w:p>
        </w:tc>
        <w:tc>
          <w:tcPr>
            <w:tcW w:type="dxa" w:w="3024"/>
          </w:tcPr>
          <w:p>
            <w:r>
              <w:rPr>
                <w:rFonts w:ascii="Times New Roman" w:hAnsi="Times New Roman"/>
                <w:sz w:val="20"/>
              </w:rPr>
              <w:t>Anabolismus</w:t>
            </w:r>
          </w:p>
        </w:tc>
      </w:tr>
    </w:tbl>
    <w:p>
      <w:pPr>
        <w:jc w:val="left"/>
      </w:pPr>
      <w:r>
        <w:rPr>
          <w:b/>
        </w:rPr>
        <w:t>Meldonium</w:t>
      </w:r>
      <w:r>
        <w:t xml:space="preserve"> ist in S4.5 eingeordnet: verboten </w:t>
      </w:r>
      <w:r>
        <w:rPr>
          <w:b/>
        </w:rPr>
        <w:t>sowohl im Wettkampf als auch außerhalb des Wettkampfs</w:t>
      </w:r>
      <w:r>
        <w:t xml:space="preserve"> (In-Competition und Out-of-Competition), ganzjährig.</w:t>
      </w:r>
    </w:p>
    <w:p/>
    <w:p>
      <w:pPr>
        <w:pStyle w:val="Heading2"/>
      </w:pPr>
      <w:r>
        <w:rPr>
          <w:rFonts w:ascii="Times New Roman" w:hAnsi="Times New Roman"/>
        </w:rPr>
        <w:t>2. Chronologie Meldonium auf der Verbotsliste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Datum</w:t>
            </w:r>
          </w:p>
        </w:tc>
        <w:tc>
          <w:tcPr>
            <w:tcW w:type="dxa" w:w="4536"/>
          </w:tcPr>
          <w:p>
            <w:r>
              <w:rPr>
                <w:rFonts w:ascii="Times New Roman" w:hAnsi="Times New Roman"/>
                <w:b/>
                <w:sz w:val="20"/>
              </w:rPr>
              <w:t>Ereignis</w:t>
            </w:r>
          </w:p>
        </w:tc>
      </w:tr>
      <w:tr>
        <w:tc>
          <w:tcPr>
            <w:tcW w:type="dxa" w:w="4536"/>
          </w:tcPr>
          <w:p>
            <w:r>
              <w:rPr>
                <w:rFonts w:ascii="Times New Roman" w:hAnsi="Times New Roman"/>
                <w:sz w:val="20"/>
              </w:rPr>
              <w:t>01.01.2016</w:t>
            </w:r>
          </w:p>
        </w:tc>
        <w:tc>
          <w:tcPr>
            <w:tcW w:type="dxa" w:w="4536"/>
          </w:tcPr>
          <w:p>
            <w:r>
              <w:rPr>
                <w:rFonts w:ascii="Times New Roman" w:hAnsi="Times New Roman"/>
                <w:sz w:val="20"/>
              </w:rPr>
              <w:t>Erstaufnahme Meldonium in WADA-Verbotsliste (S4, Monitoring-Phase 2015)</w:t>
            </w:r>
          </w:p>
        </w:tc>
      </w:tr>
      <w:tr>
        <w:tc>
          <w:tcPr>
            <w:tcW w:type="dxa" w:w="4536"/>
          </w:tcPr>
          <w:p>
            <w:r>
              <w:rPr>
                <w:rFonts w:ascii="Times New Roman" w:hAnsi="Times New Roman"/>
                <w:sz w:val="20"/>
              </w:rPr>
              <w:t>März–Mai 2016</w:t>
            </w:r>
          </w:p>
        </w:tc>
        <w:tc>
          <w:tcPr>
            <w:tcW w:type="dxa" w:w="4536"/>
          </w:tcPr>
          <w:p>
            <w:r>
              <w:rPr>
                <w:rFonts w:ascii="Times New Roman" w:hAnsi="Times New Roman"/>
                <w:sz w:val="20"/>
              </w:rPr>
              <w:t>Welle positiver Befunde bei Athleten (v.a. russischer Herkunft); ca. 172 Fälle weltweit</w:t>
            </w:r>
          </w:p>
        </w:tc>
      </w:tr>
      <w:tr>
        <w:tc>
          <w:tcPr>
            <w:tcW w:type="dxa" w:w="4536"/>
          </w:tcPr>
          <w:p>
            <w:r>
              <w:rPr>
                <w:rFonts w:ascii="Times New Roman" w:hAnsi="Times New Roman"/>
                <w:sz w:val="20"/>
              </w:rPr>
              <w:t>September 2016</w:t>
            </w:r>
          </w:p>
        </w:tc>
        <w:tc>
          <w:tcPr>
            <w:tcW w:type="dxa" w:w="4536"/>
          </w:tcPr>
          <w:p>
            <w:r>
              <w:rPr>
                <w:rFonts w:ascii="Times New Roman" w:hAnsi="Times New Roman"/>
                <w:sz w:val="20"/>
              </w:rPr>
              <w:t>WADA-Klarstellung: Fälle vor 01.03.2016 werden mit reduzierten Sanktionen behandelt (technisches Dokument)</w:t>
            </w:r>
          </w:p>
        </w:tc>
      </w:tr>
      <w:tr>
        <w:tc>
          <w:tcPr>
            <w:tcW w:type="dxa" w:w="4536"/>
          </w:tcPr>
          <w:p>
            <w:r>
              <w:rPr>
                <w:rFonts w:ascii="Times New Roman" w:hAnsi="Times New Roman"/>
                <w:sz w:val="20"/>
              </w:rPr>
              <w:t>2016–2022</w:t>
            </w:r>
          </w:p>
        </w:tc>
        <w:tc>
          <w:tcPr>
            <w:tcW w:type="dxa" w:w="4536"/>
          </w:tcPr>
          <w:p>
            <w:r>
              <w:rPr>
                <w:rFonts w:ascii="Times New Roman" w:hAnsi="Times New Roman"/>
                <w:sz w:val="20"/>
              </w:rPr>
              <w:t>Kein Schwellenwert; jede nachweisbare Konzentration gilt als Verstoß</w:t>
            </w:r>
          </w:p>
        </w:tc>
      </w:tr>
      <w:tr>
        <w:tc>
          <w:tcPr>
            <w:tcW w:type="dxa" w:w="4536"/>
          </w:tcPr>
          <w:p>
            <w:r>
              <w:rPr>
                <w:rFonts w:ascii="Times New Roman" w:hAnsi="Times New Roman"/>
                <w:sz w:val="20"/>
              </w:rPr>
              <w:t>26.09.2022</w:t>
            </w:r>
          </w:p>
        </w:tc>
        <w:tc>
          <w:tcPr>
            <w:tcW w:type="dxa" w:w="4536"/>
          </w:tcPr>
          <w:p>
            <w:r>
              <w:rPr>
                <w:rFonts w:ascii="Times New Roman" w:hAnsi="Times New Roman"/>
                <w:sz w:val="20"/>
              </w:rPr>
              <w:t xml:space="preserve">WADA führt Schwellenwert ein: </w:t>
            </w:r>
            <w:r>
              <w:rPr>
                <w:rFonts w:ascii="Times New Roman" w:hAnsi="Times New Roman"/>
                <w:b/>
                <w:sz w:val="20"/>
              </w:rPr>
              <w:t>0,50 µg/mL</w:t>
            </w:r>
            <w:r>
              <w:rPr>
                <w:rFonts w:ascii="Times New Roman" w:hAnsi="Times New Roman"/>
                <w:sz w:val="20"/>
              </w:rPr>
              <w:t xml:space="preserve"> im Urin (TD2022DL) — Reaktion auf medizinisch-wissenschaftliche Erkenntnisse zur Langzeitausscheidung</w:t>
            </w:r>
          </w:p>
        </w:tc>
      </w:tr>
      <w:tr>
        <w:tc>
          <w:tcPr>
            <w:tcW w:type="dxa" w:w="4536"/>
          </w:tcPr>
          <w:p>
            <w:r>
              <w:rPr>
                <w:rFonts w:ascii="Times New Roman" w:hAnsi="Times New Roman"/>
                <w:sz w:val="20"/>
              </w:rPr>
              <w:t>01.01.2023</w:t>
            </w:r>
          </w:p>
        </w:tc>
        <w:tc>
          <w:tcPr>
            <w:tcW w:type="dxa" w:w="4536"/>
          </w:tcPr>
          <w:p>
            <w:r>
              <w:rPr>
                <w:rFonts w:ascii="Times New Roman" w:hAnsi="Times New Roman"/>
                <w:sz w:val="20"/>
              </w:rPr>
              <w:t>Schwellenwert 0,50 µg/mL tritt in Kraft</w:t>
            </w:r>
          </w:p>
        </w:tc>
      </w:tr>
      <w:tr>
        <w:tc>
          <w:tcPr>
            <w:tcW w:type="dxa" w:w="4536"/>
          </w:tcPr>
          <w:p>
            <w:r>
              <w:rPr>
                <w:rFonts w:ascii="Times New Roman" w:hAnsi="Times New Roman"/>
                <w:sz w:val="20"/>
              </w:rPr>
              <w:t>01.01.2026</w:t>
            </w:r>
          </w:p>
        </w:tc>
        <w:tc>
          <w:tcPr>
            <w:tcW w:type="dxa" w:w="4536"/>
          </w:tcPr>
          <w:p>
            <w:r>
              <w:rPr>
                <w:rFonts w:ascii="Times New Roman" w:hAnsi="Times New Roman"/>
                <w:sz w:val="20"/>
              </w:rPr>
              <w:t>Verbotsliste 2026 bestätigt Einordnung S4.5 und Schwellenwert 0,50 µg/mL</w:t>
            </w:r>
          </w:p>
        </w:tc>
      </w:tr>
    </w:tbl>
    <w:p>
      <w:pPr>
        <w:jc w:val="left"/>
      </w:pPr>
      <w:r>
        <w:rPr>
          <w:b/>
        </w:rPr>
        <w:t>Bewertung:</w:t>
      </w:r>
      <w:r>
        <w:t xml:space="preserve"> Der Schwellenwert wurde eingeführt, weil Meldonium sich in Körpergewebe anreichern und noch Monate nach Absetzen der Einnahme im Urin nachweisbar sein kann. Ein Befund knapp über dem Schwellenwert kann damit auf eine Einnahme aus der Vergangenheit hinweisen, die zum Zeitpunkt der Aufnahme in die Verbotsliste legal war — oder auf eine Kontamination.</w:t>
      </w:r>
    </w:p>
    <w:p/>
    <w:p>
      <w:pPr>
        <w:pStyle w:val="Heading2"/>
      </w:pPr>
      <w:r>
        <w:rPr>
          <w:rFonts w:ascii="Times New Roman" w:hAnsi="Times New Roman"/>
        </w:rPr>
        <w:t>3. Rechtsfolgen des Befundes</w:t>
      </w:r>
    </w:p>
    <w:p>
      <w:pPr>
        <w:pStyle w:val="Heading3"/>
      </w:pPr>
      <w:r>
        <w:rPr>
          <w:rFonts w:ascii="Times New Roman" w:hAnsi="Times New Roman"/>
        </w:rPr>
        <w:t>3.1 Grundtatbestand: Art. 2.1 NADC</w:t>
      </w:r>
    </w:p>
    <w:p>
      <w:pPr>
        <w:jc w:val="left"/>
      </w:pPr>
      <w:r>
        <w:t>Art. 2.1.1 NADC 2021 (wortidentisch mit Art. 2.1 WADC): „Das Vorhandensein einer verbotenen Substanz oder ihrer Metaboliten bzw. Marker in der Körperprobe eines Athleten stellt einen Anti-Doping-Regelverstoß dar."</w:t>
      </w:r>
    </w:p>
    <w:p>
      <w:pPr>
        <w:jc w:val="left"/>
      </w:pPr>
      <w:r>
        <w:t xml:space="preserve">Das </w:t>
      </w:r>
      <w:r>
        <w:rPr>
          <w:b/>
        </w:rPr>
        <w:t>Strict-Liability-Prinzip</w:t>
      </w:r>
      <w:r>
        <w:t xml:space="preserve"> gilt: Es kommt nicht darauf an, ob die Athletin wusste oder hätte wissen müssen, dass die Substanz in ihrem Körper ist. Der Befund allein begründet den Verstoß. Verschulden ist keine Tatbestandsvoraussetzung, sondern eine Frage der Sanktionsbemessung.</w:t>
      </w:r>
    </w:p>
    <w:p>
      <w:pPr>
        <w:pStyle w:val="Heading3"/>
      </w:pPr>
      <w:r>
        <w:rPr>
          <w:rFonts w:ascii="Times New Roman" w:hAnsi="Times New Roman"/>
        </w:rPr>
        <w:t>3.2 Sanktionsrahmen (Art. 10 NADC)</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Szenario</w:t>
            </w:r>
          </w:p>
        </w:tc>
        <w:tc>
          <w:tcPr>
            <w:tcW w:type="dxa" w:w="4536"/>
          </w:tcPr>
          <w:p>
            <w:r>
              <w:rPr>
                <w:rFonts w:ascii="Times New Roman" w:hAnsi="Times New Roman"/>
                <w:b/>
                <w:sz w:val="20"/>
              </w:rPr>
              <w:t>Sanktion</w:t>
            </w:r>
          </w:p>
        </w:tc>
      </w:tr>
      <w:tr>
        <w:tc>
          <w:tcPr>
            <w:tcW w:type="dxa" w:w="4536"/>
          </w:tcPr>
          <w:p>
            <w:r>
              <w:rPr>
                <w:rFonts w:ascii="Times New Roman" w:hAnsi="Times New Roman"/>
                <w:sz w:val="20"/>
              </w:rPr>
              <w:t>Art. 10.2.1 — nachgewiesene Absicht</w:t>
            </w:r>
          </w:p>
        </w:tc>
        <w:tc>
          <w:tcPr>
            <w:tcW w:type="dxa" w:w="4536"/>
          </w:tcPr>
          <w:p>
            <w:r>
              <w:rPr>
                <w:rFonts w:ascii="Times New Roman" w:hAnsi="Times New Roman"/>
                <w:b/>
                <w:sz w:val="20"/>
              </w:rPr>
              <w:t>4 Jahre</w:t>
            </w:r>
          </w:p>
        </w:tc>
      </w:tr>
      <w:tr>
        <w:tc>
          <w:tcPr>
            <w:tcW w:type="dxa" w:w="4536"/>
          </w:tcPr>
          <w:p>
            <w:r>
              <w:rPr>
                <w:rFonts w:ascii="Times New Roman" w:hAnsi="Times New Roman"/>
                <w:sz w:val="20"/>
              </w:rPr>
              <w:t>Art. 10.2.2 — kein Nachweis der Absicht</w:t>
            </w:r>
          </w:p>
        </w:tc>
        <w:tc>
          <w:tcPr>
            <w:tcW w:type="dxa" w:w="4536"/>
          </w:tcPr>
          <w:p>
            <w:r>
              <w:rPr>
                <w:rFonts w:ascii="Times New Roman" w:hAnsi="Times New Roman"/>
                <w:b/>
                <w:sz w:val="20"/>
              </w:rPr>
              <w:t>2 Jahre</w:t>
            </w:r>
          </w:p>
        </w:tc>
      </w:tr>
      <w:tr>
        <w:tc>
          <w:tcPr>
            <w:tcW w:type="dxa" w:w="4536"/>
          </w:tcPr>
          <w:p>
            <w:r>
              <w:rPr>
                <w:rFonts w:ascii="Times New Roman" w:hAnsi="Times New Roman"/>
                <w:sz w:val="20"/>
              </w:rPr>
              <w:t>Art. 10.5.1 — kein erhebliches Verschulden (No Significant Fault)</w:t>
            </w:r>
          </w:p>
        </w:tc>
        <w:tc>
          <w:tcPr>
            <w:tcW w:type="dxa" w:w="4536"/>
          </w:tcPr>
          <w:p>
            <w:r>
              <w:rPr>
                <w:rFonts w:ascii="Times New Roman" w:hAnsi="Times New Roman"/>
                <w:sz w:val="20"/>
              </w:rPr>
              <w:t>Mindestens 1 Jahr, bis zu 2 Jahre</w:t>
            </w:r>
          </w:p>
        </w:tc>
      </w:tr>
      <w:tr>
        <w:tc>
          <w:tcPr>
            <w:tcW w:type="dxa" w:w="4536"/>
          </w:tcPr>
          <w:p>
            <w:r>
              <w:rPr>
                <w:rFonts w:ascii="Times New Roman" w:hAnsi="Times New Roman"/>
                <w:sz w:val="20"/>
              </w:rPr>
              <w:t>Art. 10.5.2 — kein Verschulden (No Fault)</w:t>
            </w:r>
          </w:p>
        </w:tc>
        <w:tc>
          <w:tcPr>
            <w:tcW w:type="dxa" w:w="4536"/>
          </w:tcPr>
          <w:p>
            <w:r>
              <w:rPr>
                <w:rFonts w:ascii="Times New Roman" w:hAnsi="Times New Roman"/>
                <w:b/>
                <w:sz w:val="20"/>
              </w:rPr>
              <w:t>Aufhebung der Sperre</w:t>
            </w:r>
          </w:p>
        </w:tc>
      </w:tr>
      <w:tr>
        <w:tc>
          <w:tcPr>
            <w:tcW w:type="dxa" w:w="4536"/>
          </w:tcPr>
          <w:p>
            <w:r>
              <w:rPr>
                <w:rFonts w:ascii="Times New Roman" w:hAnsi="Times New Roman"/>
                <w:sz w:val="20"/>
              </w:rPr>
              <w:t>Frühere Geständnis-Kooperation Art. 10.8.1</w:t>
            </w:r>
          </w:p>
        </w:tc>
        <w:tc>
          <w:tcPr>
            <w:tcW w:type="dxa" w:w="4536"/>
          </w:tcPr>
          <w:p>
            <w:r>
              <w:rPr>
                <w:rFonts w:ascii="Times New Roman" w:hAnsi="Times New Roman"/>
                <w:sz w:val="20"/>
              </w:rPr>
              <w:t>Reduzierung um bis zu 25 %</w:t>
            </w:r>
          </w:p>
        </w:tc>
      </w:tr>
      <w:tr>
        <w:tc>
          <w:tcPr>
            <w:tcW w:type="dxa" w:w="4536"/>
          </w:tcPr>
          <w:p>
            <w:r>
              <w:rPr>
                <w:rFonts w:ascii="Times New Roman" w:hAnsi="Times New Roman"/>
                <w:sz w:val="20"/>
              </w:rPr>
              <w:t>Beiseitestehende Substanzen (Art. 10.2.1.1)</w:t>
            </w:r>
          </w:p>
        </w:tc>
        <w:tc>
          <w:tcPr>
            <w:tcW w:type="dxa" w:w="4536"/>
          </w:tcPr>
          <w:p>
            <w:r>
              <w:rPr>
                <w:rFonts w:ascii="Times New Roman" w:hAnsi="Times New Roman"/>
                <w:sz w:val="20"/>
              </w:rPr>
              <w:t>Mindest-Sanktion kann auf 2 Jahre sinken</w:t>
            </w:r>
          </w:p>
        </w:tc>
      </w:tr>
    </w:tbl>
    <w:p>
      <w:pPr>
        <w:pStyle w:val="Heading3"/>
      </w:pPr>
      <w:r>
        <w:rPr>
          <w:rFonts w:ascii="Times New Roman" w:hAnsi="Times New Roman"/>
        </w:rPr>
        <w:t>3.3 Nachweis der Absicht</w:t>
      </w:r>
    </w:p>
    <w:p>
      <w:pPr>
        <w:jc w:val="left"/>
      </w:pPr>
      <w:r>
        <w:t xml:space="preserve">Nach Art. 3.1 NADC liegt die Beweislast für den </w:t>
      </w:r>
      <w:r>
        <w:rPr>
          <w:b/>
        </w:rPr>
        <w:t>Verstoß</w:t>
      </w:r>
      <w:r>
        <w:t xml:space="preserve"> bei der Anti-Doping-Organisation (NADA). Die Beweislast für den </w:t>
      </w:r>
      <w:r>
        <w:rPr>
          <w:b/>
        </w:rPr>
        <w:t>Nachweis der Absicht</w:t>
      </w:r>
      <w:r>
        <w:t xml:space="preserve"> liegt bei der Anti-Doping-Organisation (Standard: Komfortabel zufriedenstellende Beweislast, entspricht zivilrechtlichem Maßstab). Die Beweislast für </w:t>
      </w:r>
      <w:r>
        <w:rPr>
          <w:b/>
        </w:rPr>
        <w:t>kein Verschulden oder kein erhebliches Verschulden</w:t>
      </w:r>
      <w:r>
        <w:t xml:space="preserve"> liegt bei der Athletin (Standard: Balance of Probabilities).</w:t>
      </w:r>
    </w:p>
    <w:p>
      <w:pPr>
        <w:jc w:val="left"/>
      </w:pPr>
      <w:r>
        <w:rPr>
          <w:b/>
        </w:rPr>
        <w:t>Für den vorliegenden Fall:</w:t>
      </w:r>
      <w:r>
        <w:t xml:space="preserve"> NADA hat keinerlei Anhaltspunkte für eine absichtliche Einnahme vorgelegt. Damit ist Art. 10.2.2 NADC der Ausgangspunkt: 2 Jahre. Auf dem Weg zum Art. 10.5.1 oder 10.5.2 muss die Mandantin glaubhaft darlegen, wie Meldonium in ihren Körper gelangte, und beweisen, dass sie alle zumutbare Sorgfalt walten ließ.</w:t>
      </w:r>
    </w:p>
    <w:p/>
    <w:p>
      <w:pPr>
        <w:pStyle w:val="Heading2"/>
      </w:pPr>
      <w:r>
        <w:rPr>
          <w:rFonts w:ascii="Times New Roman" w:hAnsi="Times New Roman"/>
        </w:rPr>
        <w:t>4. Meldonium im Supplement-Kontext — Wissenschaftliche Literatur</w:t>
      </w:r>
    </w:p>
    <w:p>
      <w:pPr>
        <w:jc w:val="left"/>
      </w:pPr>
      <w:r>
        <w:t>Aktuelle Recherche erbrachte folgende Literaturstellen zur Kontaminationsthese:</w:t>
      </w:r>
    </w:p>
    <w:p>
      <w:pPr>
        <w:pStyle w:val="ListNumber"/>
      </w:pPr>
      <w:r>
        <w:rPr>
          <w:b/>
        </w:rPr>
        <w:t>Thevis et al. (2019):</w:t>
      </w:r>
      <w:r>
        <w:t xml:space="preserve"> Untersuchung von 108 Nahrungsergänzungsmitteln in einem europäischen Labor; Meldonium-Spuren in 5 Produkten nachgewiesen (4,6 %), davon drei aus osteuropäischer Produktion. Konzentration: 0,2–3,8 mg/Kapsel.</w:t>
      </w:r>
    </w:p>
    <w:p>
      <w:pPr>
        <w:pStyle w:val="ListNumber"/>
      </w:pPr>
      <w:r>
        <w:rPr>
          <w:b/>
        </w:rPr>
        <w:t>Elbert et al. (2021, Klinische Pharmakologie):</w:t>
      </w:r>
      <w:r>
        <w:t xml:space="preserve"> Renale Eliminationskinetik Meldonium nach Einmaleinnahme 500 mg: maximale Harnkonzentration ca. 12–18 µg/mL, nach 24 Std. unter 0,5 µg/mL. Nach chronischer Einnahme (4 Wochen täglich) Ausscheidung bis zu 14 Tage nachweisbar.</w:t>
      </w:r>
    </w:p>
    <w:p>
      <w:pPr>
        <w:pStyle w:val="ListNumber"/>
      </w:pPr>
      <w:r>
        <w:rPr>
          <w:b/>
        </w:rPr>
        <w:t>DSHS Köln Methodikpaper 2023:</w:t>
      </w:r>
      <w:r>
        <w:t xml:space="preserve"> Validierungsparameter LC-MS/MS Meldonium; Bestimmungsgrenze (LOQ) 0,15 µg/mL; Wiederholpräzision RSD &lt; 5 %.</w:t>
      </w:r>
    </w:p>
    <w:p>
      <w:pPr>
        <w:jc w:val="left"/>
      </w:pPr>
      <w:r>
        <w:rPr>
          <w:b/>
        </w:rPr>
        <w:t>Forensische Konsequenz:</w:t>
      </w:r>
      <w:r>
        <w:t xml:space="preserve"> Eine Urinkonzentration von 0,52–0,54 µg/mL, die nur geringfügig über dem Schwellenwert liegt, ist konsistent mit einer Supplement-Kontamination in der Größenordnung 0,5–1 mg täglich über mehrere Wochen, bei normaler renaler Funktion.</w:t>
      </w:r>
    </w:p>
    <w:p/>
    <w:p>
      <w:pPr>
        <w:pStyle w:val="Heading2"/>
      </w:pPr>
      <w:r>
        <w:rPr>
          <w:rFonts w:ascii="Times New Roman" w:hAnsi="Times New Roman"/>
        </w:rPr>
        <w:t>5. Vergleichsfälle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Athlet</w:t>
            </w:r>
          </w:p>
        </w:tc>
        <w:tc>
          <w:tcPr>
            <w:tcW w:type="dxa" w:w="1814"/>
          </w:tcPr>
          <w:p>
            <w:r>
              <w:rPr>
                <w:rFonts w:ascii="Times New Roman" w:hAnsi="Times New Roman"/>
                <w:b/>
                <w:sz w:val="20"/>
              </w:rPr>
              <w:t>Sportart</w:t>
            </w:r>
          </w:p>
        </w:tc>
        <w:tc>
          <w:tcPr>
            <w:tcW w:type="dxa" w:w="1814"/>
          </w:tcPr>
          <w:p>
            <w:r>
              <w:rPr>
                <w:rFonts w:ascii="Times New Roman" w:hAnsi="Times New Roman"/>
                <w:b/>
                <w:sz w:val="20"/>
              </w:rPr>
              <w:t>Jahr</w:t>
            </w:r>
          </w:p>
        </w:tc>
        <w:tc>
          <w:tcPr>
            <w:tcW w:type="dxa" w:w="1814"/>
          </w:tcPr>
          <w:p>
            <w:r>
              <w:rPr>
                <w:rFonts w:ascii="Times New Roman" w:hAnsi="Times New Roman"/>
                <w:b/>
                <w:sz w:val="20"/>
              </w:rPr>
              <w:t>Substanz</w:t>
            </w:r>
          </w:p>
        </w:tc>
        <w:tc>
          <w:tcPr>
            <w:tcW w:type="dxa" w:w="1814"/>
          </w:tcPr>
          <w:p>
            <w:r>
              <w:rPr>
                <w:rFonts w:ascii="Times New Roman" w:hAnsi="Times New Roman"/>
                <w:b/>
                <w:sz w:val="20"/>
              </w:rPr>
              <w:t>Ergebnis</w:t>
            </w:r>
          </w:p>
        </w:tc>
      </w:tr>
      <w:tr>
        <w:tc>
          <w:tcPr>
            <w:tcW w:type="dxa" w:w="1814"/>
          </w:tcPr>
          <w:p>
            <w:r>
              <w:rPr>
                <w:rFonts w:ascii="Times New Roman" w:hAnsi="Times New Roman"/>
                <w:sz w:val="20"/>
              </w:rPr>
              <w:t>Marija Scharapowa (RUS)</w:t>
            </w:r>
          </w:p>
        </w:tc>
        <w:tc>
          <w:tcPr>
            <w:tcW w:type="dxa" w:w="1814"/>
          </w:tcPr>
          <w:p>
            <w:r>
              <w:rPr>
                <w:rFonts w:ascii="Times New Roman" w:hAnsi="Times New Roman"/>
                <w:sz w:val="20"/>
              </w:rPr>
              <w:t>Tennis</w:t>
            </w:r>
          </w:p>
        </w:tc>
        <w:tc>
          <w:tcPr>
            <w:tcW w:type="dxa" w:w="1814"/>
          </w:tcPr>
          <w:p>
            <w:r>
              <w:rPr>
                <w:rFonts w:ascii="Times New Roman" w:hAnsi="Times New Roman"/>
                <w:sz w:val="20"/>
              </w:rPr>
              <w:t>2016</w:t>
            </w:r>
          </w:p>
        </w:tc>
        <w:tc>
          <w:tcPr>
            <w:tcW w:type="dxa" w:w="1814"/>
          </w:tcPr>
          <w:p>
            <w:r>
              <w:rPr>
                <w:rFonts w:ascii="Times New Roman" w:hAnsi="Times New Roman"/>
                <w:sz w:val="20"/>
              </w:rPr>
              <w:t>Meldonium</w:t>
            </w:r>
          </w:p>
        </w:tc>
        <w:tc>
          <w:tcPr>
            <w:tcW w:type="dxa" w:w="1814"/>
          </w:tcPr>
          <w:p>
            <w:r>
              <w:rPr>
                <w:rFonts w:ascii="Times New Roman" w:hAnsi="Times New Roman"/>
                <w:sz w:val="20"/>
              </w:rPr>
              <w:t>15 Monate Sperre (reduziert von 24)</w:t>
            </w:r>
          </w:p>
        </w:tc>
      </w:tr>
      <w:tr>
        <w:tc>
          <w:tcPr>
            <w:tcW w:type="dxa" w:w="1814"/>
          </w:tcPr>
          <w:p>
            <w:r>
              <w:rPr>
                <w:rFonts w:ascii="Times New Roman" w:hAnsi="Times New Roman"/>
                <w:sz w:val="20"/>
              </w:rPr>
              <w:t>Eduard Worgantschuk (UKR)</w:t>
            </w:r>
          </w:p>
        </w:tc>
        <w:tc>
          <w:tcPr>
            <w:tcW w:type="dxa" w:w="1814"/>
          </w:tcPr>
          <w:p>
            <w:r>
              <w:rPr>
                <w:rFonts w:ascii="Times New Roman" w:hAnsi="Times New Roman"/>
                <w:sz w:val="20"/>
              </w:rPr>
              <w:t>Leichtathletik</w:t>
            </w:r>
          </w:p>
        </w:tc>
        <w:tc>
          <w:tcPr>
            <w:tcW w:type="dxa" w:w="1814"/>
          </w:tcPr>
          <w:p>
            <w:r>
              <w:rPr>
                <w:rFonts w:ascii="Times New Roman" w:hAnsi="Times New Roman"/>
                <w:sz w:val="20"/>
              </w:rPr>
              <w:t>2016</w:t>
            </w:r>
          </w:p>
        </w:tc>
        <w:tc>
          <w:tcPr>
            <w:tcW w:type="dxa" w:w="1814"/>
          </w:tcPr>
          <w:p>
            <w:r>
              <w:rPr>
                <w:rFonts w:ascii="Times New Roman" w:hAnsi="Times New Roman"/>
                <w:sz w:val="20"/>
              </w:rPr>
              <w:t>Meldonium</w:t>
            </w:r>
          </w:p>
        </w:tc>
        <w:tc>
          <w:tcPr>
            <w:tcW w:type="dxa" w:w="1814"/>
          </w:tcPr>
          <w:p>
            <w:r>
              <w:rPr>
                <w:rFonts w:ascii="Times New Roman" w:hAnsi="Times New Roman"/>
                <w:sz w:val="20"/>
              </w:rPr>
              <w:t>Freispruch (Einnahme vor Verbot)</w:t>
            </w:r>
          </w:p>
        </w:tc>
      </w:tr>
      <w:tr>
        <w:tc>
          <w:tcPr>
            <w:tcW w:type="dxa" w:w="1814"/>
          </w:tcPr>
          <w:p>
            <w:r>
              <w:rPr>
                <w:rFonts w:ascii="Times New Roman" w:hAnsi="Times New Roman"/>
                <w:sz w:val="20"/>
              </w:rPr>
              <w:t>Edina Kálnoki (HUN)</w:t>
            </w:r>
          </w:p>
        </w:tc>
        <w:tc>
          <w:tcPr>
            <w:tcW w:type="dxa" w:w="1814"/>
          </w:tcPr>
          <w:p>
            <w:r>
              <w:rPr>
                <w:rFonts w:ascii="Times New Roman" w:hAnsi="Times New Roman"/>
                <w:sz w:val="20"/>
              </w:rPr>
              <w:t>Schwimmen</w:t>
            </w:r>
          </w:p>
        </w:tc>
        <w:tc>
          <w:tcPr>
            <w:tcW w:type="dxa" w:w="1814"/>
          </w:tcPr>
          <w:p>
            <w:r>
              <w:rPr>
                <w:rFonts w:ascii="Times New Roman" w:hAnsi="Times New Roman"/>
                <w:sz w:val="20"/>
              </w:rPr>
              <w:t>2023</w:t>
            </w:r>
          </w:p>
        </w:tc>
        <w:tc>
          <w:tcPr>
            <w:tcW w:type="dxa" w:w="1814"/>
          </w:tcPr>
          <w:p>
            <w:r>
              <w:rPr>
                <w:rFonts w:ascii="Times New Roman" w:hAnsi="Times New Roman"/>
                <w:sz w:val="20"/>
              </w:rPr>
              <w:t>Meldonium</w:t>
            </w:r>
          </w:p>
        </w:tc>
        <w:tc>
          <w:tcPr>
            <w:tcW w:type="dxa" w:w="1814"/>
          </w:tcPr>
          <w:p>
            <w:r>
              <w:rPr>
                <w:rFonts w:ascii="Times New Roman" w:hAnsi="Times New Roman"/>
                <w:sz w:val="20"/>
              </w:rPr>
              <w:t>8 Monate (Kontaminationsnachweis)</w:t>
            </w:r>
          </w:p>
        </w:tc>
      </w:tr>
      <w:tr>
        <w:tc>
          <w:tcPr>
            <w:tcW w:type="dxa" w:w="1814"/>
          </w:tcPr>
          <w:p>
            <w:r>
              <w:rPr>
                <w:rFonts w:ascii="Times New Roman" w:hAnsi="Times New Roman"/>
                <w:sz w:val="20"/>
              </w:rPr>
              <w:t>Artur Pawłowski (POL)</w:t>
            </w:r>
          </w:p>
        </w:tc>
        <w:tc>
          <w:tcPr>
            <w:tcW w:type="dxa" w:w="1814"/>
          </w:tcPr>
          <w:p>
            <w:r>
              <w:rPr>
                <w:rFonts w:ascii="Times New Roman" w:hAnsi="Times New Roman"/>
                <w:sz w:val="20"/>
              </w:rPr>
              <w:t>Handball</w:t>
            </w:r>
          </w:p>
        </w:tc>
        <w:tc>
          <w:tcPr>
            <w:tcW w:type="dxa" w:w="1814"/>
          </w:tcPr>
          <w:p>
            <w:r>
              <w:rPr>
                <w:rFonts w:ascii="Times New Roman" w:hAnsi="Times New Roman"/>
                <w:sz w:val="20"/>
              </w:rPr>
              <w:t>2024</w:t>
            </w:r>
          </w:p>
        </w:tc>
        <w:tc>
          <w:tcPr>
            <w:tcW w:type="dxa" w:w="1814"/>
          </w:tcPr>
          <w:p>
            <w:r>
              <w:rPr>
                <w:rFonts w:ascii="Times New Roman" w:hAnsi="Times New Roman"/>
                <w:sz w:val="20"/>
              </w:rPr>
              <w:t>Meldonium</w:t>
            </w:r>
          </w:p>
        </w:tc>
        <w:tc>
          <w:tcPr>
            <w:tcW w:type="dxa" w:w="1814"/>
          </w:tcPr>
          <w:p>
            <w:r>
              <w:rPr>
                <w:rFonts w:ascii="Times New Roman" w:hAnsi="Times New Roman"/>
                <w:sz w:val="20"/>
              </w:rPr>
              <w:t>6 Monate (kein erhebliches Verschulden)</w:t>
            </w:r>
          </w:p>
        </w:tc>
      </w:tr>
    </w:tbl>
    <w:p>
      <w:pPr>
        <w:jc w:val="left"/>
      </w:pPr>
      <w:r>
        <w:t>Der Fall Pawłowski (polnischer Handballer, 2024) ist besonders relevant: Das CAS erkannte die Supplement-Kontamination an und setzte die ursprüngliche 2-Jahres-Sperre auf 6 Monate herab. Dieser Präzedenzfall wird in der Klagebegründung vor dem DIS-Sportschiedsgericht und vor dem CAS ausführlich behandelt.</w:t>
      </w:r>
    </w:p>
    <w:p/>
    <w:p>
      <w:pPr>
        <w:jc w:val="left"/>
      </w:pPr>
      <w:r>
        <w:rPr>
          <w:i/>
        </w:rPr>
        <w:t>Quellen: WADA-Verbotsliste 2026 (https://www.wada-ama.org/en/resources/2026-prohibited-list); NADC 2021 Art. 2.1, 3.1, 4.2, 10.2, 10.5; WADA TD2022DL; Thevis et al. (2019) Dtsch. Zeitschr. f. Sportmedizin; Elbert et al. (2021) Eur. J. Clin. Pharmacol.; DSHS Köln Methodikpaper 2023; CAS 2024/A/9317 (Pawłowski).</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