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07 — Sachverständiger und Laboranalyse Supplement-Charge 22-4188</w:t>
      </w:r>
    </w:p>
    <w:p>
      <w:pPr>
        <w:jc w:val="left"/>
      </w:pPr>
      <w:r>
        <w:rPr>
          <w:b/>
        </w:rPr>
        <w:t>Erstellt:</w:t>
      </w:r>
      <w:r>
        <w:t xml:space="preserve"> 05.04.2026</w:t>
      </w:r>
    </w:p>
    <w:p>
      <w:pPr>
        <w:jc w:val="left"/>
      </w:pPr>
      <w:r>
        <w:rPr>
          <w:b/>
        </w:rPr>
        <w:t>Bearbeiter:</w:t>
      </w:r>
      <w:r>
        <w:t xml:space="preserve"> RA Prof. Dr. Markus Lentze</w:t>
      </w:r>
    </w:p>
    <w:p>
      <w:pPr>
        <w:jc w:val="left"/>
      </w:pPr>
      <w:r>
        <w:rPr>
          <w:b/>
        </w:rPr>
        <w:t>AZ:</w:t>
      </w:r>
      <w:r>
        <w:t xml:space="preserve"> SU/DOPING/2026-001</w:t>
      </w:r>
    </w:p>
    <w:p/>
    <w:p>
      <w:pPr>
        <w:pStyle w:val="Heading2"/>
      </w:pPr>
      <w:r>
        <w:rPr>
          <w:rFonts w:ascii="Times New Roman" w:hAnsi="Times New Roman"/>
        </w:rPr>
        <w:t>1. Gutachtenauftrag Prof. Dr. Kempa</w:t>
      </w:r>
    </w:p>
    <w:p>
      <w:pPr>
        <w:pStyle w:val="Heading3"/>
      </w:pPr>
      <w:r>
        <w:rPr>
          <w:rFonts w:ascii="Times New Roman" w:hAnsi="Times New Roman"/>
        </w:rPr>
        <w:t>1.1 Person des Sachverständigen</w:t>
      </w:r>
    </w:p>
    <w:p>
      <w:pPr>
        <w:jc w:val="left"/>
      </w:pPr>
      <w:r>
        <w:t>Prof. Dr. Stefan Kempa</w:t>
      </w:r>
    </w:p>
    <w:p>
      <w:pPr>
        <w:jc w:val="left"/>
      </w:pPr>
      <w:r>
        <w:t>Lehrstuhl für Toxikologie und forensische Chemie, Johannes Gutenberg-Universität Mainz</w:t>
      </w:r>
    </w:p>
    <w:p>
      <w:pPr>
        <w:jc w:val="left"/>
      </w:pPr>
      <w:r>
        <w:t>Publikationen: über 180 begutachtete Fachartikel zu Substanzanalytik, Anti-Doping und Umwelttoxikologie</w:t>
      </w:r>
    </w:p>
    <w:p>
      <w:pPr>
        <w:jc w:val="left"/>
      </w:pPr>
      <w:r>
        <w:t>Früheres CAS-Sachverständigengutachten: CAS 2022/A/8145 (Horváth ./. IOC), CAS 2023/A/8900 (Viegas ./. WADA)</w:t>
      </w:r>
    </w:p>
    <w:p>
      <w:pPr>
        <w:jc w:val="left"/>
      </w:pPr>
      <w:r>
        <w:t>Honorar: 8.500 EUR netto pro Gutachten (Pauschalhonorar)</w:t>
      </w:r>
    </w:p>
    <w:p>
      <w:pPr>
        <w:pStyle w:val="Heading3"/>
      </w:pPr>
      <w:r>
        <w:rPr>
          <w:rFonts w:ascii="Times New Roman" w:hAnsi="Times New Roman"/>
        </w:rPr>
        <w:t>1.2 Gutachtenauftrag (Auszug aus Beauftragungsschreiben 05.03.2026)</w:t>
      </w:r>
    </w:p>
    <w:p>
      <w:pPr>
        <w:jc w:val="left"/>
      </w:pPr>
      <w:r>
        <w:t>„…Wir bitten Sie, auf der Grundlage der Ihnen übermittelten Analyseprotokolle der A- und B-Probe (DSHS Köln, Februar/März 2026) sowie der Supplement-Analyseergebnisse (LGC Standards Hamburg, erwartet April 2026) folgende Fragen zu beantworten:</w:t>
      </w:r>
    </w:p>
    <w:p>
      <w:pPr>
        <w:pStyle w:val="ListNumber"/>
      </w:pPr>
      <w:r>
        <w:t>Ist der gemessene Urinbefund von Meldonium (0,52–0,54 µg/mL) kausal mit einer Einnahme des Supplements RecoveryMax Pro, Charge 22-4188, vereinbar?</w:t>
      </w:r>
    </w:p>
    <w:p>
      <w:pPr>
        <w:pStyle w:val="ListNumber"/>
      </w:pPr>
      <w:r>
        <w:t>Welche minimale Kontaminationskonzentration (mg/Kapsel) wäre erforderlich, um bei täglicher Einnahme von 2 Kapseln über 60 Tage den vorliegenden Urinbefund zu erzielen?</w:t>
      </w:r>
    </w:p>
    <w:p>
      <w:pPr>
        <w:pStyle w:val="ListNumber"/>
      </w:pPr>
      <w:r>
        <w:t>Ist der zeitliche Verlauf (letzte Einnahme 17.02.2026 abends, Probenahme 18.02.2026 09:28 Uhr) mit einem Kontaminationsszenario vereinbar?</w:t>
      </w:r>
    </w:p>
    <w:p>
      <w:pPr>
        <w:pStyle w:val="ListNumber"/>
      </w:pPr>
      <w:r>
        <w:t>Schließt der Befund eine willentliche Einnahme von pharmazeutischen Meldonium-Präparaten aus?…"</w:t>
      </w:r>
    </w:p>
    <w:p/>
    <w:p>
      <w:pPr>
        <w:pStyle w:val="Heading2"/>
      </w:pPr>
      <w:r>
        <w:rPr>
          <w:rFonts w:ascii="Times New Roman" w:hAnsi="Times New Roman"/>
        </w:rPr>
        <w:t>2. Supplement-Analyse: LGC Standards Hamburg — Ergebnisse</w:t>
      </w:r>
    </w:p>
    <w:p>
      <w:pPr>
        <w:pStyle w:val="Heading3"/>
      </w:pPr>
      <w:r>
        <w:rPr>
          <w:rFonts w:ascii="Times New Roman" w:hAnsi="Times New Roman"/>
        </w:rPr>
        <w:t>2.1 Analysebericht (Auszug), Nr. LGC-2026-0310-4188</w:t>
      </w:r>
    </w:p>
    <w:p>
      <w:pPr>
        <w:jc w:val="left"/>
      </w:pPr>
      <w:r>
        <w:rPr>
          <w:b/>
        </w:rPr>
        <w:t>Eingang Proben:</w:t>
      </w:r>
      <w:r>
        <w:t xml:space="preserve"> 11.03.2026, 4 Kapseln aus gesicherter Probe (Charge 22-4188, RecoveryMax Pro)</w:t>
      </w:r>
    </w:p>
    <w:p>
      <w:pPr>
        <w:jc w:val="left"/>
      </w:pPr>
      <w:r>
        <w:rPr>
          <w:b/>
        </w:rPr>
        <w:t>Methode:</w:t>
      </w:r>
      <w:r>
        <w:t xml:space="preserve"> LC-MS/MS (Agilent 6460 Triple Quadrupole) nach Extraktion in Methanol:Wasser 80:20</w:t>
      </w:r>
    </w:p>
    <w:p>
      <w:pPr>
        <w:jc w:val="left"/>
      </w:pPr>
      <w:r>
        <w:rPr>
          <w:b/>
        </w:rPr>
        <w:t>Analysiert auf:</w:t>
      </w:r>
      <w:r>
        <w:t xml:space="preserve"> vollständige WADA-2026-Verbotsliste (412 Analyte)</w:t>
      </w:r>
    </w:p>
    <w:p>
      <w:pPr>
        <w:jc w:val="left"/>
      </w:pPr>
      <w:r>
        <w:rPr>
          <w:b/>
        </w:rPr>
        <w:t>Analyseabschluss:</w:t>
      </w:r>
      <w:r>
        <w:t xml:space="preserve"> 01.04.2026</w:t>
      </w:r>
    </w:p>
    <w:p>
      <w:pPr>
        <w:jc w:val="left"/>
      </w:pPr>
      <w:r>
        <w:rPr>
          <w:b/>
        </w:rPr>
        <w:t>Ergebnis (Auswahl):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Substanz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WADA-Status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Analyseergebnis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Gehalt pro Kapsel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L-Carnitin-L-Tartrat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Nicht verboten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Deklariert, 750 mg ✓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750 mg (korrekt)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Magnesiumcitrat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Nicht verboten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Deklariert, 150 mg ✓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150 mg (korrekt)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Meldonium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S4, verboten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Positiv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0,84 mg/Kapsel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Trimetazidin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S4, verboten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Negativ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Oxedrin (Synephrin)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S6 (Wettkampf), erlaubt OOC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Negativ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Sibutramin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S6, verboten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Negativ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Peptide gesamt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Negativ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Cannabinoide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Negativ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jc w:val="left"/>
      </w:pPr>
      <w:r>
        <w:rPr>
          <w:b/>
        </w:rPr>
        <w:t>Zusammenfassung LGC:</w:t>
      </w:r>
      <w:r>
        <w:t xml:space="preserve"> „In der Probe wurden 0,84 mg Meldonium pro Kapsel festgestellt. Diese Substanz ist nicht auf dem Etikett deklariert. Der Befund stellt eine signifikante, nicht deklarierte Kontamination dar."</w:t>
      </w:r>
    </w:p>
    <w:p/>
    <w:p>
      <w:pPr>
        <w:pStyle w:val="Heading2"/>
      </w:pPr>
      <w:r>
        <w:rPr>
          <w:rFonts w:ascii="Times New Roman" w:hAnsi="Times New Roman"/>
        </w:rPr>
        <w:t>3. Gutachten Prof. Dr. Kempa (Zusammenfassung, 20.04.2026)</w:t>
      </w:r>
    </w:p>
    <w:p>
      <w:pPr>
        <w:pStyle w:val="Heading3"/>
      </w:pPr>
      <w:r>
        <w:rPr>
          <w:rFonts w:ascii="Times New Roman" w:hAnsi="Times New Roman"/>
        </w:rPr>
        <w:t>3.1 Kausalitätsbewertung</w:t>
      </w:r>
    </w:p>
    <w:p>
      <w:pPr>
        <w:jc w:val="left"/>
      </w:pPr>
      <w:r>
        <w:rPr>
          <w:b/>
        </w:rPr>
        <w:t>Frage 1: Kausalitätsvereinbarkeit</w:t>
      </w:r>
    </w:p>
    <w:p>
      <w:pPr>
        <w:jc w:val="left"/>
      </w:pPr>
      <w:r>
        <w:t xml:space="preserve">Bei 2 Kapseln täglich ergibt sich eine tägliche Meldonium-Dosis von </w:t>
      </w:r>
      <w:r>
        <w:rPr>
          <w:b/>
        </w:rPr>
        <w:t>1,68 mg</w:t>
      </w:r>
      <w:r>
        <w:t xml:space="preserve">. Diese liegt im Bereich niedrig-dosierter Kontaminationen. Pharmakokinetische Modellierung (Kempa et al., inhouse-Datensatz) ergibt nach 60 Tagen täglicher Einnahme eine steady-state Plasmakonzentration und eine renale Ausscheidung, die zu einer Urinkonzentration von ca. </w:t>
      </w:r>
      <w:r>
        <w:rPr>
          <w:b/>
        </w:rPr>
        <w:t>0,45–0,65 µg/mL</w:t>
      </w:r>
      <w:r>
        <w:t xml:space="preserve"> führt. Dies ist vollständig konsistent mit dem gemessenen Befund von 0,52–0,54 µg/mL.</w:t>
      </w:r>
    </w:p>
    <w:p>
      <w:pPr>
        <w:jc w:val="left"/>
      </w:pPr>
      <w:r>
        <w:rPr>
          <w:b/>
        </w:rPr>
        <w:t>Gutachterliche Aussage:</w:t>
      </w:r>
      <w:r>
        <w:t xml:space="preserve"> „Die Urinkonzentration ist kausal mit der festgestellten Supplement-Kontamination vereinbar. Ein alternativer Einnahmepfad (pharmazeutisches Meldonium-Präparat) ist aufgrund der geringen Konzentration unwahrscheinlich — typische therapeutische Dosen liegen bei 500–1000 mg/Tag und würden deutlich höhere Urinkonzentrationen verursachen (&gt;50 µg/mL akut)."</w:t>
      </w:r>
    </w:p>
    <w:p>
      <w:pPr>
        <w:jc w:val="left"/>
      </w:pPr>
      <w:r>
        <w:rPr>
          <w:b/>
        </w:rPr>
        <w:t>Frage 2: Mindest-Kontaminationskonzentration</w:t>
      </w:r>
    </w:p>
    <w:p>
      <w:pPr>
        <w:jc w:val="left"/>
      </w:pPr>
      <w:r>
        <w:t>Für den vorliegenden Urinbefund ist eine Kontaminationskonzentration von ≥ 0,6 mg/Kapsel ausreichend, abhängig von individueller renaler Clearance. Die festgestellte Kontamination von 0,84 mg/Kapsel überschreitet diesen Minimalwert deutlich.</w:t>
      </w:r>
    </w:p>
    <w:p>
      <w:pPr>
        <w:jc w:val="left"/>
      </w:pPr>
      <w:r>
        <w:rPr>
          <w:b/>
        </w:rPr>
        <w:t>Frage 3: Zeitlicher Verlauf</w:t>
      </w:r>
    </w:p>
    <w:p>
      <w:pPr>
        <w:jc w:val="left"/>
      </w:pPr>
      <w:r>
        <w:t>Halbwertszeit Meldonium bei niedrig-dosierter chronischer Exposition: ca. 12–15 Stunden (akute Phase nach letzter Kapsel). Letzte Einnahme 17.02.2026, 19:00 Uhr; Probenahme 18.02.2026, 09:28 Uhr — Abstand ca. 14,5 Stunden. Dies entspricht etwa einer Halbwertszeit: eine Reduktion des Urinspiegels um ca. 50 % ist zu erwarten. Der höhere Spiegel unmittelbar nach der letzten Kapsel wäre damit bei ~1,0–1,2 µg/mL gelegen — konsistent mit dem Kontaminationsszenario bei steady state.</w:t>
      </w:r>
    </w:p>
    <w:p>
      <w:pPr>
        <w:jc w:val="left"/>
      </w:pPr>
      <w:r>
        <w:rPr>
          <w:b/>
        </w:rPr>
        <w:t>Frage 4: Ausschluss willentlicher Einnahme pharmazeutischer Präparate</w:t>
      </w:r>
    </w:p>
    <w:p>
      <w:pPr>
        <w:jc w:val="left"/>
      </w:pPr>
      <w:r>
        <w:t>Therapeutische Meldonium-Präparate (z.B. Mildronate 500 mg) würden bei Einnahme 24–48 Stunden vor der Probe Urinkonzentrationen von 20–100 µg/mL verursachen — also Faktor 40–200 höher als der festgestellte Wert. Der vorliegende Befund ist mit willentlicher Einnahme therapeutischer Mengen nicht vereinbar.</w:t>
      </w:r>
    </w:p>
    <w:p>
      <w:pPr>
        <w:jc w:val="left"/>
      </w:pPr>
      <w:r>
        <w:rPr>
          <w:b/>
        </w:rPr>
        <w:t>Gutachterliches Fazit (Zitat):</w:t>
      </w:r>
      <w:r>
        <w:t xml:space="preserve"> „Mit an Sicherheit grenzender Wahrscheinlichkeit geht der vorliegende Meldonium-Befund auf die nicht deklarierte Kontamination in RecoveryMax Pro, Charge 22-4188, zurück. Eine willentliche Einnahme ist pharmakologisch ausgeschlossen."</w:t>
      </w:r>
    </w:p>
    <w:p/>
    <w:p>
      <w:pPr>
        <w:pStyle w:val="Heading2"/>
      </w:pPr>
      <w:r>
        <w:rPr>
          <w:rFonts w:ascii="Times New Roman" w:hAnsi="Times New Roman"/>
        </w:rPr>
        <w:t>4. Kausalitätskette — Zusammenfassung</w:t>
      </w:r>
    </w:p>
    <w:p>
      <w:pPr>
        <w:jc w:val="left"/>
      </w:pPr>
      <w:r>
        <w:t>```</w:t>
      </w:r>
    </w:p>
    <w:p>
      <w:pPr>
        <w:jc w:val="left"/>
      </w:pPr>
      <w:r>
        <w:t>PowerNutrition GmbH (Memmingen)</w:t>
      </w:r>
    </w:p>
    <w:p>
      <w:pPr>
        <w:jc w:val="left"/>
      </w:pPr>
      <w:r>
        <w:t>↓ Herstellung / Kontamination Charge 22-4188</w:t>
      </w:r>
    </w:p>
    <w:p>
      <w:pPr>
        <w:jc w:val="left"/>
      </w:pPr>
      <w:r>
        <w:t>RecoveryMax Pro, 0,84 mg Meldonium/Kapsel (nicht deklariert)</w:t>
      </w:r>
    </w:p>
    <w:p>
      <w:pPr>
        <w:jc w:val="left"/>
      </w:pPr>
      <w:r>
        <w:t>↓ tägliche Einnahme 2 Kapseln, 60 Tage</w:t>
      </w:r>
    </w:p>
    <w:p>
      <w:pPr>
        <w:jc w:val="left"/>
      </w:pPr>
      <w:r>
        <w:t>Selin Uvalkanat, steady-state Meldoniumspiegel</w:t>
      </w:r>
    </w:p>
    <w:p>
      <w:pPr>
        <w:jc w:val="left"/>
      </w:pPr>
      <w:r>
        <w:t>↓ renale Ausscheidung</w:t>
      </w:r>
    </w:p>
    <w:p>
      <w:pPr>
        <w:jc w:val="left"/>
      </w:pPr>
      <w:r>
        <w:t>Urinprobe 18.02.2026: 0,52–0,54 µg/mL (knapp über Schwellenwert)</w:t>
      </w:r>
    </w:p>
    <w:p>
      <w:pPr>
        <w:jc w:val="left"/>
      </w:pPr>
      <w:r>
        <w:t>↓ NADA-Analyse DSHS Köln</w:t>
      </w:r>
    </w:p>
    <w:p>
      <w:pPr>
        <w:jc w:val="left"/>
      </w:pPr>
      <w:r>
        <w:t>AAF (Adverse Analytical Finding) bestätigt</w:t>
      </w:r>
    </w:p>
    <w:p>
      <w:pPr>
        <w:jc w:val="left"/>
      </w:pPr>
      <w:r>
        <w:t>```</w:t>
      </w:r>
    </w:p>
    <w:p/>
    <w:p>
      <w:pPr>
        <w:pStyle w:val="Heading2"/>
      </w:pPr>
      <w:r>
        <w:rPr>
          <w:rFonts w:ascii="Times New Roman" w:hAnsi="Times New Roman"/>
        </w:rPr>
        <w:t>5. Verwendung des Gutachtens im Verfahren</w:t>
      </w:r>
    </w:p>
    <w:p>
      <w:pPr>
        <w:jc w:val="left"/>
      </w:pPr>
      <w:r>
        <w:t>Das Gutachten Prof. Dr. Kempa vom 20.04.2026 wird:</w:t>
      </w:r>
    </w:p>
    <w:p>
      <w:pPr>
        <w:pStyle w:val="ListNumber"/>
      </w:pPr>
      <w:r>
        <w:t>Als Anlage zur Klageschrift vor dem Deutschen Sportschiedsgericht (DSGSp 12/26) eingereicht</w:t>
      </w:r>
    </w:p>
    <w:p>
      <w:pPr>
        <w:pStyle w:val="ListNumber"/>
      </w:pPr>
      <w:r>
        <w:t>Als Anlage zum Statement of Appeal vor dem CAS (CAS 2026/A/8821) vorgelegt</w:t>
      </w:r>
    </w:p>
    <w:p>
      <w:pPr>
        <w:pStyle w:val="ListNumber"/>
      </w:pPr>
      <w:r>
        <w:t>Im Strafverfahren gegen PowerNutrition GmbH (§ 223 StGB) an die Staatsanwaltschaft Memmingen übersandt</w:t>
      </w:r>
    </w:p>
    <w:p>
      <w:pPr>
        <w:pStyle w:val="ListNumber"/>
      </w:pPr>
      <w:r>
        <w:t>Im Produkthaftungsverfahren (§ 1 ProdHaftG) gegen PowerNutrition GmbH eingesetzt</w:t>
      </w:r>
    </w:p>
    <w:p/>
    <w:p>
      <w:pPr>
        <w:jc w:val="left"/>
      </w:pPr>
      <w:r>
        <w:rPr>
          <w:i/>
        </w:rPr>
        <w:t>Quellen: Kempa, S. (2026) „Pharmakologische Begutachtung, Uvalkanat, 20.04.2026"; LGC Standards GmbH, Bericht Nr. LGC-2026-0310-4188 vom 01.04.2026; NADC 2021 Art. 10.5; CAS 2011/A/2566 (Cilic); § 1 ProdHaftG.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