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Schriftwechsel mit NADA: Vorabinformation, Akteneinsicht, Fristen</w:t>
      </w:r>
    </w:p>
    <w:p>
      <w:pPr>
        <w:jc w:val="left"/>
      </w:pPr>
      <w:r>
        <w:rPr>
          <w:b/>
        </w:rPr>
        <w:t>Erstellt:</w:t>
      </w:r>
      <w:r>
        <w:t xml:space="preserve"> 20.03.2026</w:t>
      </w:r>
    </w:p>
    <w:p>
      <w:pPr>
        <w:jc w:val="left"/>
      </w:pPr>
      <w:r>
        <w:rPr>
          <w:b/>
        </w:rPr>
        <w:t>Bearbeiter:</w:t>
      </w:r>
      <w:r>
        <w:t xml:space="preserve"> RAin Sophie Wenderlich</w:t>
      </w:r>
    </w:p>
    <w:p>
      <w:pPr>
        <w:jc w:val="left"/>
      </w:pPr>
      <w:r>
        <w:rPr>
          <w:b/>
        </w:rPr>
        <w:t>AZ:</w:t>
      </w:r>
      <w:r>
        <w:t xml:space="preserve"> SU/DOPING/2026-001</w:t>
      </w:r>
    </w:p>
    <w:p/>
    <w:p>
      <w:pPr>
        <w:pStyle w:val="Heading2"/>
      </w:pPr>
      <w:r>
        <w:rPr>
          <w:rFonts w:ascii="Times New Roman" w:hAnsi="Times New Roman"/>
        </w:rPr>
        <w:t>1. Chronologie des Schriftwechsels</w:t>
      </w:r>
    </w:p>
    <w:p>
      <w:pPr>
        <w:pStyle w:val="Heading3"/>
      </w:pPr>
      <w:r>
        <w:rPr>
          <w:rFonts w:ascii="Times New Roman" w:hAnsi="Times New Roman"/>
        </w:rPr>
        <w:t>1.1 Vorabinformation NADA an Mandantin (27.02.2026)</w:t>
      </w:r>
    </w:p>
    <w:p>
      <w:pPr>
        <w:jc w:val="left"/>
      </w:pPr>
      <w:r>
        <w:rPr>
          <w:b/>
        </w:rPr>
        <w:t>Von:</w:t>
      </w:r>
      <w:r>
        <w:t xml:space="preserve"> NADA Deutschland e.V., Anti-Doping-Abteilung</w:t>
      </w:r>
    </w:p>
    <w:p>
      <w:pPr>
        <w:jc w:val="left"/>
      </w:pPr>
      <w:r>
        <w:rPr>
          <w:b/>
        </w:rPr>
        <w:t>An:</w:t>
      </w:r>
      <w:r>
        <w:t xml:space="preserve"> Selin Uvalkanat (persönlich), Karl-Marx-Straße 47, 08056 Zwickau</w:t>
      </w:r>
    </w:p>
    <w:p>
      <w:pPr>
        <w:jc w:val="left"/>
      </w:pPr>
      <w:r>
        <w:rPr>
          <w:b/>
        </w:rPr>
        <w:t>Datum:</w:t>
      </w:r>
      <w:r>
        <w:t xml:space="preserve"> 27.02.2026</w:t>
      </w:r>
    </w:p>
    <w:p>
      <w:pPr>
        <w:jc w:val="left"/>
      </w:pPr>
      <w:r>
        <w:rPr>
          <w:b/>
        </w:rPr>
        <w:t>Art:</w:t>
      </w:r>
      <w:r>
        <w:t xml:space="preserve"> Einschreiben mit Rückschein; gleichzeitig per E-Mail</w:t>
      </w:r>
    </w:p>
    <w:p>
      <w:pPr>
        <w:jc w:val="left"/>
      </w:pPr>
      <w:r>
        <w:rPr>
          <w:b/>
        </w:rPr>
        <w:t>Wesentlicher Inhalt:</w:t>
      </w:r>
    </w:p>
    <w:p>
      <w:pPr>
        <w:pStyle w:val="ListBullet"/>
      </w:pPr>
      <w:r>
        <w:t>Mitteilung AAF: Meldonium 0,54 µg/mL (A-Probe NAD-2026-0218-AU-6112-A)</w:t>
      </w:r>
    </w:p>
    <w:p>
      <w:pPr>
        <w:pStyle w:val="ListBullet"/>
      </w:pPr>
      <w:r>
        <w:t>Vorläufige Suspendierung ab sofort nach Art. 7.3.2 NADC 2021</w:t>
      </w:r>
    </w:p>
    <w:p>
      <w:pPr>
        <w:pStyle w:val="ListBullet"/>
      </w:pPr>
      <w:r>
        <w:t>Belehrung über Rechte: B-Probe-Antrag (Frist 10 Tage, bis 09.03.2026), schriftliche Erklärung (20 Tage, bis 18.03.2026)</w:t>
      </w:r>
    </w:p>
    <w:p>
      <w:pPr>
        <w:pStyle w:val="ListBullet"/>
      </w:pPr>
      <w:r>
        <w:t>Hinweis auf kostenlosen NADA-Athletenbeauftragten</w:t>
      </w:r>
    </w:p>
    <w:p>
      <w:pPr>
        <w:pStyle w:val="ListBullet"/>
      </w:pPr>
      <w:r>
        <w:t>Hinweis auf Anti-Doping-Beratungsstelle der Deutschen Sportzentrale</w:t>
      </w:r>
    </w:p>
    <w:p>
      <w:pPr>
        <w:jc w:val="left"/>
      </w:pPr>
      <w:r>
        <w:t>Empfang Rückschein: 01.03.2026.</w:t>
      </w:r>
    </w:p>
    <w:p>
      <w:pPr>
        <w:pStyle w:val="Heading3"/>
      </w:pPr>
      <w:r>
        <w:rPr>
          <w:rFonts w:ascii="Times New Roman" w:hAnsi="Times New Roman"/>
        </w:rPr>
        <w:t>1.2 Antwort Kanzlei auf Vorabinformation (01.03.2026)</w:t>
      </w:r>
    </w:p>
    <w:p>
      <w:pPr>
        <w:jc w:val="left"/>
      </w:pPr>
      <w:r>
        <w:rPr>
          <w:b/>
        </w:rPr>
        <w:t>Von:</w:t>
      </w:r>
      <w:r>
        <w:t xml:space="preserve"> Lentze, Stopper &amp; Partner, per Fax und E-Mail</w:t>
      </w:r>
    </w:p>
    <w:p>
      <w:pPr>
        <w:jc w:val="left"/>
      </w:pPr>
      <w:r>
        <w:rPr>
          <w:b/>
        </w:rPr>
        <w:t>An:</w:t>
      </w:r>
      <w:r>
        <w:t xml:space="preserve"> NADA Deutschland e.V., Heussallee 38, 53113 Bonn; Fax: 0228/8160-1220</w:t>
      </w:r>
    </w:p>
    <w:p>
      <w:pPr>
        <w:jc w:val="left"/>
      </w:pPr>
      <w:r>
        <w:rPr>
          <w:b/>
        </w:rPr>
        <w:t>Datum:</w:t>
      </w:r>
      <w:r>
        <w:t xml:space="preserve"> 01.03.2026</w:t>
      </w:r>
    </w:p>
    <w:p>
      <w:pPr>
        <w:jc w:val="left"/>
      </w:pPr>
      <w:r>
        <w:t>Inhalt: Vollmachtsvorlage; Beantragung B-Probe-Öffnung; Beantragung vollständiger Akteneinsicht nach Art. 14.1.2 NADC; Ankündigung schriftlicher Erklärung nach Auswertung.</w:t>
      </w:r>
    </w:p>
    <w:p>
      <w:pPr>
        <w:pStyle w:val="Heading3"/>
      </w:pPr>
      <w:r>
        <w:rPr>
          <w:rFonts w:ascii="Times New Roman" w:hAnsi="Times New Roman"/>
        </w:rPr>
        <w:t>1.3 NADA-Bestätigung B-Probe (02.03.2026)</w:t>
      </w:r>
    </w:p>
    <w:p>
      <w:pPr>
        <w:jc w:val="left"/>
      </w:pPr>
      <w:r>
        <w:rPr>
          <w:b/>
        </w:rPr>
        <w:t>Von:</w:t>
      </w:r>
      <w:r>
        <w:t xml:space="preserve"> NADA</w:t>
      </w:r>
    </w:p>
    <w:p>
      <w:pPr>
        <w:jc w:val="left"/>
      </w:pPr>
      <w:r>
        <w:rPr>
          <w:b/>
        </w:rPr>
        <w:t>An:</w:t>
      </w:r>
      <w:r>
        <w:t xml:space="preserve"> Kanzlei</w:t>
      </w:r>
    </w:p>
    <w:p>
      <w:pPr>
        <w:jc w:val="left"/>
      </w:pPr>
      <w:r>
        <w:t>B-Probe-Öffnung bestätigt für 04.03.2026, 10:00 Uhr, DSHS Köln. Anwesenheit Parteisachverständiger zugestimmt.</w:t>
      </w:r>
    </w:p>
    <w:p>
      <w:pPr>
        <w:pStyle w:val="Heading3"/>
      </w:pPr>
      <w:r>
        <w:rPr>
          <w:rFonts w:ascii="Times New Roman" w:hAnsi="Times New Roman"/>
        </w:rPr>
        <w:t>1.4 NADA-Schreiben nach B-Probe (06.03.2026)</w:t>
      </w:r>
    </w:p>
    <w:p>
      <w:pPr>
        <w:jc w:val="left"/>
      </w:pPr>
      <w:r>
        <w:rPr>
          <w:b/>
        </w:rPr>
        <w:t>Von:</w:t>
      </w:r>
      <w:r>
        <w:t xml:space="preserve"> NADA</w:t>
      </w:r>
    </w:p>
    <w:p>
      <w:pPr>
        <w:jc w:val="left"/>
      </w:pPr>
      <w:r>
        <w:rPr>
          <w:b/>
        </w:rPr>
        <w:t>An:</w:t>
      </w:r>
      <w:r>
        <w:t xml:space="preserve"> Kanzlei</w:t>
      </w:r>
    </w:p>
    <w:p>
      <w:pPr>
        <w:jc w:val="left"/>
      </w:pPr>
      <w:r>
        <w:t>AAF formal bestätigt. Verweis an DHB und Deutsches Sportschiedsgericht. Erklärungsfrist verlängert auf 26.03.2026 (auf Antrag).</w:t>
      </w:r>
    </w:p>
    <w:p>
      <w:pPr>
        <w:pStyle w:val="Heading3"/>
      </w:pPr>
      <w:r>
        <w:rPr>
          <w:rFonts w:ascii="Times New Roman" w:hAnsi="Times New Roman"/>
        </w:rPr>
        <w:t>1.5 Kanzlei-Antrag Akteneinsicht (08.03.2026)</w:t>
      </w:r>
    </w:p>
    <w:p>
      <w:pPr>
        <w:jc w:val="left"/>
      </w:pPr>
      <w:r>
        <w:t>Kanzlei beantragte vollständige Akteneinsicht nach Art. 14.1.2 NADC 2021 für folgende Unterlagen:</w:t>
      </w:r>
    </w:p>
    <w:p>
      <w:pPr>
        <w:pStyle w:val="ListBullet"/>
      </w:pPr>
      <w:r>
        <w:t>Vollständiges Laborprotokoll DSHS Köln (A-Probe)</w:t>
      </w:r>
    </w:p>
    <w:p>
      <w:pPr>
        <w:pStyle w:val="ListBullet"/>
      </w:pPr>
      <w:r>
        <w:t>Vollständiges Laborprotokoll DSHS Köln (B-Probe)</w:t>
      </w:r>
    </w:p>
    <w:p>
      <w:pPr>
        <w:pStyle w:val="ListBullet"/>
      </w:pPr>
      <w:r>
        <w:t>DCO-Report des Kontrolleurs Schubert vom 18.02.2026</w:t>
      </w:r>
    </w:p>
    <w:p>
      <w:pPr>
        <w:pStyle w:val="ListBullet"/>
      </w:pPr>
      <w:r>
        <w:t>Chain-of-Custody-Dokumentation (Lückenlosigkeit von Probenahme bis Laboreingang)</w:t>
      </w:r>
    </w:p>
    <w:p>
      <w:pPr>
        <w:pStyle w:val="ListBullet"/>
      </w:pPr>
      <w:r>
        <w:t>WADA-ADAMS-Aufzeichnungen zur Proben-ID</w:t>
      </w:r>
    </w:p>
    <w:p>
      <w:pPr>
        <w:pStyle w:val="ListBullet"/>
      </w:pPr>
      <w:r>
        <w:t>Akkreditierungsunterlagen des DSHS-Labors (aktuelles ISO-Zertifikat)</w:t>
      </w:r>
    </w:p>
    <w:p>
      <w:pPr>
        <w:pStyle w:val="Heading3"/>
      </w:pPr>
      <w:r>
        <w:rPr>
          <w:rFonts w:ascii="Times New Roman" w:hAnsi="Times New Roman"/>
        </w:rPr>
        <w:t>1.6 NADA gewährt Akteneinsicht (14.03.2026)</w:t>
      </w:r>
    </w:p>
    <w:p>
      <w:pPr>
        <w:jc w:val="left"/>
      </w:pPr>
      <w:r>
        <w:t>Teilweise Akteneinsicht gewährt. Übersandt: DCO-Report, Laborprotokolle A- und B-Probe, Chain-of-Custody. Nicht übersandt: ADAMS-Aufzeichnungen (NADA verweist auf Datenschutz). Kanzlei widerspricht der Verweigerung der ADAMS-Daten und kündigt ggf. Antrag auf gerichtliche Akteneinsicht an.</w:t>
      </w:r>
    </w:p>
    <w:p/>
    <w:p>
      <w:pPr>
        <w:pStyle w:val="Heading2"/>
      </w:pPr>
      <w:r>
        <w:rPr>
          <w:rFonts w:ascii="Times New Roman" w:hAnsi="Times New Roman"/>
        </w:rPr>
        <w:t>2. Schriftliche Erklärung der Mandantin (26.03.2026)</w:t>
      </w:r>
    </w:p>
    <w:p>
      <w:pPr>
        <w:jc w:val="left"/>
      </w:pPr>
      <w:r>
        <w:rPr>
          <w:b/>
        </w:rPr>
        <w:t>Von:</w:t>
      </w:r>
      <w:r>
        <w:t xml:space="preserve"> Kanzlei Lentze, Stopper &amp; Partner</w:t>
      </w:r>
    </w:p>
    <w:p>
      <w:pPr>
        <w:jc w:val="left"/>
      </w:pPr>
      <w:r>
        <w:rPr>
          <w:b/>
        </w:rPr>
        <w:t>An:</w:t>
      </w:r>
      <w:r>
        <w:t xml:space="preserve"> NADA Deutschland e.V.</w:t>
      </w:r>
    </w:p>
    <w:p>
      <w:pPr>
        <w:jc w:val="left"/>
      </w:pPr>
      <w:r>
        <w:rPr>
          <w:b/>
        </w:rPr>
        <w:t>Datum:</w:t>
      </w:r>
      <w:r>
        <w:t xml:space="preserve"> 26.03.2026</w:t>
      </w:r>
    </w:p>
    <w:p>
      <w:pPr>
        <w:pStyle w:val="Heading3"/>
      </w:pPr>
      <w:r>
        <w:rPr>
          <w:rFonts w:ascii="Times New Roman" w:hAnsi="Times New Roman"/>
        </w:rPr>
        <w:t>Wesentliche Punkte der Erklärung</w:t>
      </w:r>
    </w:p>
    <w:p>
      <w:pPr>
        <w:jc w:val="left"/>
      </w:pPr>
      <w:r>
        <w:rPr>
          <w:b/>
        </w:rPr>
        <w:t>I. Sachverhalt</w:t>
      </w:r>
    </w:p>
    <w:p>
      <w:pPr>
        <w:jc w:val="left"/>
      </w:pPr>
      <w:r>
        <w:t>Mandantin hat zu keiner Zeit Meldonium willentlich eingenommen. Sie verwendet seit Oktober 2024 RecoveryMax Pro (PowerNutrition GmbH, Memmingen, Charge 22-4188), ein an Sportler vermarktetes Nahrungsergänzungsmittel. Die Supplement-Analyse durch LGC Standards Hamburg (Auftrag 10.03.2026, Ergebnis erwartet April 2026) wird die Kontaminationsquelle nachweisen.</w:t>
      </w:r>
    </w:p>
    <w:p>
      <w:pPr>
        <w:jc w:val="left"/>
      </w:pPr>
      <w:r>
        <w:rPr>
          <w:b/>
        </w:rPr>
        <w:t>II. Rechtliche Position</w:t>
      </w:r>
    </w:p>
    <w:p>
      <w:pPr>
        <w:jc w:val="left"/>
      </w:pPr>
      <w:r>
        <w:t>Die Mandantin beruft sich auf Art. 10.5.1 NADC (kein erhebliches Verschulden) bzw. Art. 10.5.2 NADC (kein Verschulden), sobald die Supplement-Analyse vorliegt. Sie ersucht NADA, das Disziplinarverfahren bis zur Vorlage des Gutachtens (voraussichtlich 01.05.2026) auszusetzen.</w:t>
      </w:r>
    </w:p>
    <w:p>
      <w:pPr>
        <w:jc w:val="left"/>
      </w:pPr>
      <w:r>
        <w:rPr>
          <w:b/>
        </w:rPr>
        <w:t>III. Antrag auf Aufhebung der vorläufigen Suspendierung</w:t>
      </w:r>
    </w:p>
    <w:p>
      <w:pPr>
        <w:jc w:val="left"/>
      </w:pPr>
      <w:r>
        <w:t>Nach Art. 7.4.2 NADC kann der Athlet die Aufhebung der vorläufigen Suspendierung beim zuständigen Spruchkörper beantragen, wenn dies aus Billigkeit geboten ist. Mandantin beantragt Aufhebung, hilfsweise Beschränkung auf Wettkampfsport unter Weiterzulassung zum Training.</w:t>
      </w:r>
    </w:p>
    <w:p>
      <w:pPr>
        <w:jc w:val="left"/>
      </w:pPr>
      <w:r>
        <w:rPr>
          <w:b/>
        </w:rPr>
        <w:t>IV. Kooperation</w:t>
      </w:r>
    </w:p>
    <w:p>
      <w:pPr>
        <w:jc w:val="left"/>
      </w:pPr>
      <w:r>
        <w:t>Mandantin kooperiert vollumfänglich, stellt alle Beweismittel zur Verfügung (Supplement-Probe, Kaufbeleg, Kommunikation mit Trainerin Ehrfeld, Medikamenten-Tagebuch) und ist bereit, zu einem persönlichen Gespräch bei NADA zu erscheinen.</w:t>
      </w:r>
    </w:p>
    <w:p/>
    <w:p>
      <w:pPr>
        <w:pStyle w:val="Heading2"/>
      </w:pPr>
      <w:r>
        <w:rPr>
          <w:rFonts w:ascii="Times New Roman" w:hAnsi="Times New Roman"/>
        </w:rPr>
        <w:t>3. NADA-Antwort auf Erklärung (08.04.2026)</w:t>
      </w:r>
    </w:p>
    <w:p>
      <w:pPr>
        <w:jc w:val="left"/>
      </w:pPr>
      <w:r>
        <w:t>NADA lehnte die Aussetzung des Verfahrens ab. Begründung: Der NADC sehe keine Ermächtigung zur Aussetzung allein wegen laufender Untersuchungen. Hingegen: Das Sportschiedsgericht könne die vorläufige Suspendierung im Rahmen des Hauptverfahrens überprüfen.</w:t>
      </w:r>
    </w:p>
    <w:p>
      <w:pPr>
        <w:jc w:val="left"/>
      </w:pPr>
      <w:r>
        <w:t>Zur Aufhebung der vorläufigen Suspendierung: NADA hat keinen Einwand gegen einen entsprechenden Antrag beim Deutschen Sportschiedsgericht nach DIS-SportSchO § 14.</w:t>
      </w:r>
    </w:p>
    <w:p/>
    <w:p>
      <w:pPr>
        <w:pStyle w:val="Heading2"/>
      </w:pPr>
      <w:r>
        <w:rPr>
          <w:rFonts w:ascii="Times New Roman" w:hAnsi="Times New Roman"/>
        </w:rPr>
        <w:t>4. Antrag auf Aufhebung vorläufige Suspendierung (DIS-Sportschiedsgericht)</w:t>
      </w:r>
    </w:p>
    <w:p>
      <w:pPr>
        <w:jc w:val="left"/>
      </w:pPr>
      <w:r>
        <w:t>Kanzlei stellte am 15.04.2026 beim Deutschen Sportschiedsgericht (DSGSp 12/26) Antrag auf einstweilige Aufhebung der vorläufigen Suspendierung nach DIS-SportSchO § 14 Abs. 3. Begründung: Supplement-Analyse steht kurz vor Abschluss; ausreichende Beweise für Kontaminationsthese bereits vorhanden; schwerwiegende wirtschaftliche Schäden (Vertragskündigung BSV, Adidas-Forderung). Entscheidung des Schiedsgerichts ausstehend (Stand: 20.04.2026).</w:t>
      </w:r>
    </w:p>
    <w:p/>
    <w:p>
      <w:pPr>
        <w:jc w:val="left"/>
      </w:pPr>
      <w:r>
        <w:rPr>
          <w:i/>
        </w:rPr>
        <w:t>Quellen: NADC 2021 Art. 7.3.2, 7.4.2, 14.1.2; DIS-SportSchO § 14; NADA-Schreiben 27.02.2026 und 06.03.2026 und 08.04.2026 (alle in Akte).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