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Beweisaufnahme: Zeugen, Gutachter und Beweisanträge</w:t>
      </w:r>
    </w:p>
    <w:p>
      <w:pPr>
        <w:jc w:val="left"/>
      </w:pPr>
      <w:r>
        <w:rPr>
          <w:b/>
        </w:rPr>
        <w:t>Erstellt:</w:t>
      </w:r>
      <w:r>
        <w:t xml:space="preserve"> 20.05.2026</w:t>
      </w:r>
    </w:p>
    <w:p>
      <w:pPr>
        <w:jc w:val="left"/>
      </w:pPr>
      <w:r>
        <w:rPr>
          <w:b/>
        </w:rPr>
        <w:t>Bearbeiter:</w:t>
      </w:r>
      <w:r>
        <w:t xml:space="preserve"> RAin Sophie Wenderlich</w:t>
      </w:r>
    </w:p>
    <w:p>
      <w:pPr>
        <w:jc w:val="left"/>
      </w:pPr>
      <w:r>
        <w:rPr>
          <w:b/>
        </w:rPr>
        <w:t>AZ:</w:t>
      </w:r>
      <w:r>
        <w:t xml:space="preserve"> SU/DOPING/2026-001 / DSGSp 12/26</w:t>
      </w:r>
    </w:p>
    <w:p/>
    <w:p>
      <w:pPr>
        <w:pStyle w:val="Heading2"/>
      </w:pPr>
      <w:r>
        <w:rPr>
          <w:rFonts w:ascii="Times New Roman" w:hAnsi="Times New Roman"/>
        </w:rPr>
        <w:t>1. Beweisanträge der Mandantin</w:t>
      </w:r>
    </w:p>
    <w:p>
      <w:pPr>
        <w:jc w:val="left"/>
      </w:pPr>
      <w:r>
        <w:t>Mit Schriftsatz vom 30.04.2026 stellte die Kanzlei folgende Beweisanträge:</w:t>
      </w:r>
    </w:p>
    <w:p>
      <w:pPr>
        <w:pStyle w:val="Heading3"/>
      </w:pPr>
      <w:r>
        <w:rPr>
          <w:rFonts w:ascii="Times New Roman" w:hAnsi="Times New Roman"/>
        </w:rPr>
        <w:t>Beweisantrag 1: Sachverständiger Prof. Dr. Kempa</w:t>
      </w:r>
    </w:p>
    <w:p>
      <w:pPr>
        <w:jc w:val="left"/>
      </w:pPr>
      <w:r>
        <w:rPr>
          <w:b/>
        </w:rPr>
        <w:t>Beweisthema:</w:t>
      </w:r>
      <w:r>
        <w:t xml:space="preserve"> Die festgestellte Urinkonzentration von Meldonium (0,52–0,54 µg/mL) ist kausal auf die Einnahme des Supplements RecoveryMax Pro, Charge 22-4188, zurückzuführen. Eine willentliche Einnahme pharmazeutischer Meldonium-Präparate ist pharmakologisch ausgeschlossen.</w:t>
      </w:r>
    </w:p>
    <w:p>
      <w:pPr>
        <w:jc w:val="left"/>
      </w:pPr>
      <w:r>
        <w:rPr>
          <w:b/>
        </w:rPr>
        <w:t>Beweismittel:</w:t>
      </w:r>
      <w:r>
        <w:t xml:space="preserve"> Gutachten Prof. Dr. Kempa vom 20.04.2026 (bereits vorliegend); mündliche Erläuterung in der Verhandlung.</w:t>
      </w:r>
    </w:p>
    <w:p>
      <w:pPr>
        <w:jc w:val="left"/>
      </w:pPr>
      <w:r>
        <w:rPr>
          <w:b/>
        </w:rPr>
        <w:t>Beschluss:</w:t>
      </w:r>
      <w:r>
        <w:t xml:space="preserve"> Zulässig — Spruchkammer ließ Gutachten als Parteigutachten zu und hörte Prof. Dr. Kempa per Videolink am 15.05.2026.</w:t>
      </w:r>
    </w:p>
    <w:p/>
    <w:p>
      <w:pPr>
        <w:pStyle w:val="Heading3"/>
      </w:pPr>
      <w:r>
        <w:rPr>
          <w:rFonts w:ascii="Times New Roman" w:hAnsi="Times New Roman"/>
        </w:rPr>
        <w:t>Beweisantrag 2: Supplement-Analysebericht LGC Standards</w:t>
      </w:r>
    </w:p>
    <w:p>
      <w:pPr>
        <w:jc w:val="left"/>
      </w:pPr>
      <w:r>
        <w:rPr>
          <w:b/>
        </w:rPr>
        <w:t>Beweisthema:</w:t>
      </w:r>
      <w:r>
        <w:t xml:space="preserve"> RecoveryMax Pro, Charge 22-4188, enthält Meldonium in einer Konzentration von 0,84 mg/Kapsel, nicht deklariert.</w:t>
      </w:r>
    </w:p>
    <w:p>
      <w:pPr>
        <w:jc w:val="left"/>
      </w:pPr>
      <w:r>
        <w:rPr>
          <w:b/>
        </w:rPr>
        <w:t>Beweismittel:</w:t>
      </w:r>
      <w:r>
        <w:t xml:space="preserve"> Analysebericht LGC Standards GmbH Hamburg, Nr. LGC-2026-0310-4188 vom 01.04.2026.</w:t>
      </w:r>
    </w:p>
    <w:p>
      <w:pPr>
        <w:jc w:val="left"/>
      </w:pPr>
      <w:r>
        <w:rPr>
          <w:b/>
        </w:rPr>
        <w:t>Beschluss:</w:t>
      </w:r>
      <w:r>
        <w:t xml:space="preserve"> Zulässig und als Urkundsbeweis zugelassen.</w:t>
      </w:r>
    </w:p>
    <w:p/>
    <w:p>
      <w:pPr>
        <w:pStyle w:val="Heading3"/>
      </w:pPr>
      <w:r>
        <w:rPr>
          <w:rFonts w:ascii="Times New Roman" w:hAnsi="Times New Roman"/>
        </w:rPr>
        <w:t>Beweisantrag 3: Zeugnis Barbara Ehrfeld</w:t>
      </w:r>
    </w:p>
    <w:p>
      <w:pPr>
        <w:jc w:val="left"/>
      </w:pPr>
      <w:r>
        <w:rPr>
          <w:b/>
        </w:rPr>
        <w:t>Beweisthema:</w:t>
      </w:r>
      <w:r>
        <w:t xml:space="preserve"> Die Vereinstrainerin empfahl der Mandantin das Supplement; keine Prüfung auf NADA/WADA-Konformität wurde vorgenommen; kein Beratungsprogramm des Vereins existiert.</w:t>
      </w:r>
    </w:p>
    <w:p>
      <w:pPr>
        <w:jc w:val="left"/>
      </w:pPr>
      <w:r>
        <w:rPr>
          <w:b/>
        </w:rPr>
        <w:t>Beweis:</w:t>
      </w:r>
      <w:r>
        <w:t xml:space="preserve"> Zeugenbefragung mündlich am 15.05.2026.</w:t>
      </w:r>
    </w:p>
    <w:p/>
    <w:p>
      <w:pPr>
        <w:pStyle w:val="Heading3"/>
      </w:pPr>
      <w:r>
        <w:rPr>
          <w:rFonts w:ascii="Times New Roman" w:hAnsi="Times New Roman"/>
        </w:rPr>
        <w:t>Beweisantrag 4: Urinprobe Tamara Schönfeld</w:t>
      </w:r>
    </w:p>
    <w:p>
      <w:pPr>
        <w:jc w:val="left"/>
      </w:pPr>
      <w:r>
        <w:rPr>
          <w:b/>
        </w:rPr>
        <w:t>Beweisthema:</w:t>
      </w:r>
      <w:r>
        <w:t xml:space="preserve"> Dieselbe Supplement-Charge führt bei einer weiteren BSV-Spielerin zu nachweisbaren Meldonium-Spuren im Urin (0,31 µg/mL bei unabhängiger Analyse).</w:t>
      </w:r>
    </w:p>
    <w:p>
      <w:pPr>
        <w:jc w:val="left"/>
      </w:pPr>
      <w:r>
        <w:rPr>
          <w:b/>
        </w:rPr>
        <w:t>Beweismittel:</w:t>
      </w:r>
      <w:r>
        <w:t xml:space="preserve"> Laborprotokoll Institut für Doping-Analytik Kreischa, Nr. KADA-2026-0320-4788 vom 28.03.2026; Zeugenbefragung Tamara Schönfeld.</w:t>
      </w:r>
    </w:p>
    <w:p>
      <w:pPr>
        <w:jc w:val="left"/>
      </w:pPr>
      <w:r>
        <w:rPr>
          <w:b/>
        </w:rPr>
        <w:t>Beschluss:</w:t>
      </w:r>
      <w:r>
        <w:t xml:space="preserve"> Zulässig und zugelassen.</w:t>
      </w:r>
    </w:p>
    <w:p/>
    <w:p>
      <w:pPr>
        <w:pStyle w:val="Heading3"/>
      </w:pPr>
      <w:r>
        <w:rPr>
          <w:rFonts w:ascii="Times New Roman" w:hAnsi="Times New Roman"/>
        </w:rPr>
        <w:t>Beweisantrag 5 (abgelehnt): DHB-Verbandsarzt</w:t>
      </w:r>
    </w:p>
    <w:p>
      <w:pPr>
        <w:jc w:val="left"/>
      </w:pPr>
      <w:r>
        <w:rPr>
          <w:b/>
        </w:rPr>
        <w:t>Beweisthema:</w:t>
      </w:r>
      <w:r>
        <w:t xml:space="preserve"> DHB-Verbandsarzt Dr. Andreas Becker kann bestätigen, dass kein strukturiertes Supplement-Beratungsprogramm für DHB-Spielerinnen in Bundesligavereinen existiert.</w:t>
      </w:r>
    </w:p>
    <w:p>
      <w:pPr>
        <w:jc w:val="left"/>
      </w:pPr>
      <w:r>
        <w:rPr>
          <w:b/>
        </w:rPr>
        <w:t>Beschluss:</w:t>
      </w:r>
      <w:r>
        <w:t xml:space="preserve"> Abgelehnt — nicht entscheidungserheblich für die Frage des persönlichen Verschuldens.</w:t>
      </w:r>
    </w:p>
    <w:p/>
    <w:p>
      <w:pPr>
        <w:pStyle w:val="Heading2"/>
      </w:pPr>
      <w:r>
        <w:rPr>
          <w:rFonts w:ascii="Times New Roman" w:hAnsi="Times New Roman"/>
        </w:rPr>
        <w:t>2. Verhandlungsprotokoll (15.05.2026, Auszug)</w:t>
      </w:r>
    </w:p>
    <w:p>
      <w:pPr>
        <w:pStyle w:val="Heading3"/>
      </w:pPr>
      <w:r>
        <w:rPr>
          <w:rFonts w:ascii="Times New Roman" w:hAnsi="Times New Roman"/>
        </w:rPr>
        <w:t>09:00 Uhr — Eröffnung</w:t>
      </w:r>
    </w:p>
    <w:p>
      <w:pPr>
        <w:jc w:val="left"/>
      </w:pPr>
      <w:r>
        <w:t>Prof. Dr. Holzheid (Vorsitzender) eröffnet die Verhandlung. Feststellung der Anwesenheit; Belehrung der Zeugen nach DIS-SportSchO § 13 (Pflicht zur Wahrheit). Mandantin anwesend, sichtlich nervös aber gefasst.</w:t>
      </w:r>
    </w:p>
    <w:p>
      <w:pPr>
        <w:pStyle w:val="Heading3"/>
      </w:pPr>
      <w:r>
        <w:rPr>
          <w:rFonts w:ascii="Times New Roman" w:hAnsi="Times New Roman"/>
        </w:rPr>
        <w:t>09:30 Uhr — Einlassung Mandantin</w:t>
      </w:r>
    </w:p>
    <w:p>
      <w:pPr>
        <w:jc w:val="left"/>
      </w:pPr>
      <w:r>
        <w:t>Prof. Dr. Lentze trägt Einlassung vor. Mandantin ergänzt auf Befragen des Vorsitzenden: Sie habe RecoveryMax Pro täglich eingenommen, immer morgens mit Orangensaft, seit Oktober 2024. Sie habe das Etikett gelesen und nichts Verdächtiges gefunden. Der Begriff „Meldonium" sei ihr nicht bekannt gewesen. Sie habe bei einer Internetrecherche nach dem Hersteller keine negativen Hinweise gefunden.</w:t>
      </w:r>
    </w:p>
    <w:p>
      <w:pPr>
        <w:jc w:val="left"/>
      </w:pPr>
      <w:r>
        <w:t>Auf Frage NADA-Anwalt Röder: „Haben Sie vor der Einnahme einen Arzt oder den DHB-Verbandsarzt konsultiert?" — Antwort Mandantin: „Nein, das habe ich nicht. Ich habe auch nicht gewusst, dass ich das sollte. Die Trainerin hat das Produkt empfohlen, das habe ich für ausreichend gehalten."</w:t>
      </w:r>
    </w:p>
    <w:p>
      <w:pPr>
        <w:jc w:val="left"/>
      </w:pPr>
      <w:r>
        <w:t>Röder versucht, die fehlende Global-DRO-Prüfung als grobe Fahrlässigkeit darzustellen. Prof. Dr. Lentze widerspricht: Bei einem in Deutschland zugelassenen und auf Sportler zielenden Produkt eines deutschen Herstellers dürfe ein nicht vollständig geschulter Athlet auf die Unbedenklichkeit vertrauen; die Pflicht zu einer systematischen Datenbankprüfung treffe primär Nationalmannschafts-Athleten mit Beratungsunterstützung.</w:t>
      </w:r>
    </w:p>
    <w:p>
      <w:pPr>
        <w:pStyle w:val="Heading3"/>
      </w:pPr>
      <w:r>
        <w:rPr>
          <w:rFonts w:ascii="Times New Roman" w:hAnsi="Times New Roman"/>
        </w:rPr>
        <w:t>11:00 Uhr — Zeugin Ehrfeld</w:t>
      </w:r>
    </w:p>
    <w:p>
      <w:pPr>
        <w:jc w:val="left"/>
      </w:pPr>
      <w:r>
        <w:t>Barbara Ehrfeld (53, Vereinstrainerin BSV Sachsen Zwickau seit 2018): „Ich habe das Produkt auf der FIBO empfohlen bekommen und selbst eingenommen. Wir machen keine systematischen Supplement-Checks im Verein. Das ist mir jetzt bewusst, dass das ein Fehler war."</w:t>
      </w:r>
    </w:p>
    <w:p>
      <w:pPr>
        <w:jc w:val="left"/>
      </w:pPr>
      <w:r>
        <w:t>Auf Frage RAin Werner (Schiedsrichterin, zugleich Beisitzerin Mandantin): „Haben Sie die Spielerinnen auf die Möglichkeit einer NADA-Prüfung hingewiesen?" — Ehrfeld: „Nein, leider nicht."</w:t>
      </w:r>
    </w:p>
    <w:p>
      <w:pPr>
        <w:pStyle w:val="Heading3"/>
      </w:pPr>
      <w:r>
        <w:rPr>
          <w:rFonts w:ascii="Times New Roman" w:hAnsi="Times New Roman"/>
        </w:rPr>
        <w:t>13:30 Uhr — Sachverständiger Prof. Dr. Kempa (Videolink)</w:t>
      </w:r>
    </w:p>
    <w:p>
      <w:pPr>
        <w:jc w:val="left"/>
      </w:pPr>
      <w:r>
        <w:t>Kempa erläutert sein Gutachten. NADA-Anwalt stellt kritische Fragen zur Validierungsgenauigkeit der LGC-Analyse. Kempa bestätigt: LGC ist ein international anerkanntes Labor, ISO-zertifiziert; die Ergebnisse sind belastbar. Auf Vorhalt, ob es andere Quellen für die Konzentration geben könnte: „Nein, die Konzentration ist nicht mit einer therapeutischen Einnahme vereinbar. Sie ist ausschließlich mit einer niedrigdosierten Dauerexposition konsistent, wie sie durch ein kontaminiertes Supplement entsteht."</w:t>
      </w:r>
    </w:p>
    <w:p>
      <w:pPr>
        <w:pStyle w:val="Heading3"/>
      </w:pPr>
      <w:r>
        <w:rPr>
          <w:rFonts w:ascii="Times New Roman" w:hAnsi="Times New Roman"/>
        </w:rPr>
        <w:t>15:00 Uhr — Zeugin Schönfeld</w:t>
      </w:r>
    </w:p>
    <w:p>
      <w:pPr>
        <w:jc w:val="left"/>
      </w:pPr>
      <w:r>
        <w:t>Tamara Schönfeld (29, Torhüterin BSV): Bestätigt Einnahme RecoveryMax Pro Charge 22-4188. Ihr Laborbefund (Meldonium 0,31 µg/mL, unterhalb Schwellenwert) wird verlesen. Schönfeld: „Ich habe Glück gehabt, dass ich nicht über dem Grenzwert lag."</w:t>
      </w:r>
    </w:p>
    <w:p/>
    <w:p>
      <w:pPr>
        <w:pStyle w:val="Heading2"/>
      </w:pPr>
      <w:r>
        <w:rPr>
          <w:rFonts w:ascii="Times New Roman" w:hAnsi="Times New Roman"/>
        </w:rPr>
        <w:t>3. NADA-Position in der Verhandlung</w:t>
      </w:r>
    </w:p>
    <w:p>
      <w:pPr>
        <w:jc w:val="left"/>
      </w:pPr>
      <w:r>
        <w:t>NADA-Anwalt Dr. Röder argumentierte:</w:t>
      </w:r>
    </w:p>
    <w:p>
      <w:pPr>
        <w:pStyle w:val="ListNumber"/>
      </w:pPr>
      <w:r>
        <w:t>Die Supplement-Kontamination sei zwar belegt, aber die Mandantin hätte diese durch einfache Global-DRO-Recherche vermeiden können — dies stelle erhebliches Verschulden dar (Art. 10.5.1, nicht Art. 10.5.2).</w:t>
      </w:r>
    </w:p>
    <w:p>
      <w:pPr>
        <w:pStyle w:val="ListNumber"/>
      </w:pPr>
      <w:r>
        <w:t>Die Sperre von 2 Jahren sei angemessen und entspreche dem Ausgangspunkt bei fehlender Absicht (Art. 10.2.2 NADC) ohne vollständige Schuldbefreiung.</w:t>
      </w:r>
    </w:p>
    <w:p>
      <w:pPr>
        <w:pStyle w:val="ListNumber"/>
      </w:pPr>
      <w:r>
        <w:t>Selbst bei Art. 10.5.1 sei eine Mindest-Sperre von 12 Monaten zu verhängen; NADA beantragte 18 Monate.</w:t>
      </w:r>
    </w:p>
    <w:p/>
    <w:p>
      <w:pPr>
        <w:pStyle w:val="Heading2"/>
      </w:pPr>
      <w:r>
        <w:rPr>
          <w:rFonts w:ascii="Times New Roman" w:hAnsi="Times New Roman"/>
        </w:rPr>
        <w:t>4. Plädoyers</w:t>
      </w:r>
    </w:p>
    <w:p>
      <w:pPr>
        <w:pStyle w:val="Heading3"/>
      </w:pPr>
      <w:r>
        <w:rPr>
          <w:rFonts w:ascii="Times New Roman" w:hAnsi="Times New Roman"/>
        </w:rPr>
        <w:t>4.1 Mandantin (Prof. Dr. Lentze)</w:t>
      </w:r>
    </w:p>
    <w:p>
      <w:pPr>
        <w:jc w:val="left"/>
      </w:pPr>
      <w:r>
        <w:t>„Die Spruchkammer hat heute gehört, dass das Produkt tatsächlich kontaminiert war, dass eine weitere Spielerin denselben Rückstand hatte, dass meine Mandantin keinerlei Dopingabsicht hatte und dass sie auf eine sachkundige Empfehlung ihrer Trainerin vertraute. Der einzig beanstandbare Punkt ist das unterlassene Global-DRO-Screening. Dieser Fehler wurde von einer 26-Jährigen begangen, die kein Beratungsprogramm vom Verband erhielt. Das ist kein erhebliches Verschulden — das ist ein geringfügiges Versäumnis. Wir beantragen Art. 10.5.2 NADC: Vollständige Aufhebung der Sperre."</w:t>
      </w:r>
    </w:p>
    <w:p>
      <w:pPr>
        <w:pStyle w:val="Heading3"/>
      </w:pPr>
      <w:r>
        <w:rPr>
          <w:rFonts w:ascii="Times New Roman" w:hAnsi="Times New Roman"/>
        </w:rPr>
        <w:t>4.2 NADA (Dr. Röder)</w:t>
      </w:r>
    </w:p>
    <w:p>
      <w:pPr>
        <w:jc w:val="left"/>
      </w:pPr>
      <w:r>
        <w:t>„Das WADA-System funktioniert nur, wenn Athleten ihrer Verantwortung nachkommen. Die Mandantin hat als Nationalmannschafts-Athletin im Registered Testing Pool die Pflicht, Supplements zu prüfen. Das wurde unterlassen. Das ist erhebliches Verschulden. Wir beantragen 18 Monate Sperre."</w:t>
      </w:r>
    </w:p>
    <w:p/>
    <w:p>
      <w:pPr>
        <w:jc w:val="left"/>
      </w:pPr>
      <w:r>
        <w:rPr>
          <w:i/>
        </w:rPr>
        <w:t>Quellen: DIS-SportSchO §§ 11, 13; NADC 2021 Art. 10.2.2, 10.5.1, 10.5.2; Protokoll Verhandlung DSGSp 12/26 vom 15.05.2026.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