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CAS-Rechtsprechung: Mutu/Pechstein-Linie und Verfahrensgrundrechte</w:t>
      </w:r>
    </w:p>
    <w:p>
      <w:pPr>
        <w:jc w:val="left"/>
      </w:pPr>
      <w:r>
        <w:rPr>
          <w:b/>
        </w:rPr>
        <w:t>Erstellt:</w:t>
      </w:r>
      <w:r>
        <w:t xml:space="preserve"> 25.08.2026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 / CAS 2026/A/8821</w:t>
      </w:r>
    </w:p>
    <w:p/>
    <w:p>
      <w:pPr>
        <w:pStyle w:val="Heading2"/>
      </w:pPr>
      <w:r>
        <w:rPr>
          <w:rFonts w:ascii="Times New Roman" w:hAnsi="Times New Roman"/>
        </w:rPr>
        <w:t>1. Die Mutu/Pechstein-Entscheidung des EGMR</w:t>
      </w:r>
    </w:p>
    <w:p>
      <w:pPr>
        <w:pStyle w:val="Heading3"/>
      </w:pPr>
      <w:r>
        <w:rPr>
          <w:rFonts w:ascii="Times New Roman" w:hAnsi="Times New Roman"/>
        </w:rPr>
        <w:t>1.1 Sachverhalt und Entscheidung</w:t>
      </w:r>
    </w:p>
    <w:p>
      <w:pPr>
        <w:jc w:val="left"/>
      </w:pPr>
      <w:r>
        <w:t xml:space="preserve">Der Europäische Gerichtshof für Menschenrechte (EGMR) entschied am </w:t>
      </w:r>
      <w:r>
        <w:rPr>
          <w:b/>
        </w:rPr>
        <w:t>02.10.2018</w:t>
      </w:r>
      <w:r>
        <w:t xml:space="preserve"> in den verbundenen Rechtssachen </w:t>
      </w:r>
      <w:r>
        <w:rPr>
          <w:b/>
        </w:rPr>
        <w:t>Mutu und Pechstein ./. Schweiz</w:t>
      </w:r>
      <w:r>
        <w:t xml:space="preserve"> (Az. 40575/10 und 67474/10) über die Vereinbarkeit von CAS-Schiedsverfahren mit Art. 6 EMRK (Recht auf ein faires Verfahren vor einem unabhängigen und unparteiischen Gericht).</w:t>
      </w:r>
    </w:p>
    <w:p>
      <w:pPr>
        <w:jc w:val="left"/>
      </w:pPr>
      <w:r>
        <w:rPr>
          <w:b/>
        </w:rPr>
        <w:t>Hintergrund Adrian Mutu:</w:t>
      </w:r>
      <w:r>
        <w:t xml:space="preserve"> Der rumänische Fußballer Adrian Mutu wurde wegen positiven Kokain-Befundes 2004 gesperrt und vom Chelsea FC auf Schadensersatz in Anspruch genommen. Das CAS bestätigte die Schadensersatzpflicht; Mutu rügte die fehlende Unparteilichkeit des CAS.</w:t>
      </w:r>
    </w:p>
    <w:p>
      <w:pPr>
        <w:jc w:val="left"/>
      </w:pPr>
      <w:r>
        <w:rPr>
          <w:b/>
        </w:rPr>
        <w:t>Hintergrund Claudia Pechstein:</w:t>
      </w:r>
      <w:r>
        <w:t xml:space="preserve"> Die deutsche Eisschnellläuferin Claudia Pechstein wurde 2009 aufgrund atypischer Blutparameter (Hämoglobin-Werte) — ohne positiven Substanznachweis — gesperrt. Pechstein rügte vor dem EGMR, die obligatorische Schiedsklausel im CAS verletze Art. 6 EMRK, weil sie keine freiwillige Unterwerfung darstelle.</w:t>
      </w:r>
    </w:p>
    <w:p>
      <w:pPr>
        <w:pStyle w:val="Heading3"/>
      </w:pPr>
      <w:r>
        <w:rPr>
          <w:rFonts w:ascii="Times New Roman" w:hAnsi="Times New Roman"/>
        </w:rPr>
        <w:t>1.2 EGMR-Entscheidung (Kernaussagen)</w:t>
      </w:r>
    </w:p>
    <w:p>
      <w:pPr>
        <w:jc w:val="left"/>
      </w:pPr>
      <w:r>
        <w:rPr>
          <w:b/>
        </w:rPr>
        <w:t>Zur Freiwilligkeit:</w:t>
      </w:r>
    </w:p>
    <w:p>
      <w:pPr>
        <w:jc w:val="left"/>
      </w:pPr>
      <w:r>
        <w:t xml:space="preserve">Der EGMR unterschied die Situation von Mutu (freiwillige Profi-Athletin) und Pechstein (faktisch ohne Alternative). Für Pechstein stellte der EGMR fest, dass die Unterwerfung unter die CAS-Schiedsgerichtsbarkeit nicht freiwillig war, da ohne Teilnahme am Wettkampf keine sportliche Karriere möglich gewesen wäre. </w:t>
      </w:r>
      <w:r>
        <w:rPr>
          <w:b/>
        </w:rPr>
        <w:t>Gleichwohl</w:t>
      </w:r>
      <w:r>
        <w:t xml:space="preserve"> sah der EGMR Art. 6 EMRK nicht verletzt, weil:</w:t>
      </w:r>
    </w:p>
    <w:p>
      <w:pPr>
        <w:pStyle w:val="ListNumber"/>
      </w:pPr>
      <w:r>
        <w:t>Das CAS genügend Garantien der Unabhängigkeit und Unparteilichkeit bietet (Unabhängigkeit des ICAS, Partei-Nominierungsrecht)</w:t>
      </w:r>
    </w:p>
    <w:p>
      <w:pPr>
        <w:pStyle w:val="ListNumber"/>
      </w:pPr>
      <w:r>
        <w:t>Die Verfahrensgarantien (Waffengleichheit, Akteneinsicht, Anhörungsrecht) gewährleistet sind</w:t>
      </w:r>
    </w:p>
    <w:p>
      <w:pPr>
        <w:pStyle w:val="ListNumber"/>
      </w:pPr>
      <w:r>
        <w:t>CAS-Entscheidungen der Kontrolle durch das Schweizerische Bundesgericht unterliegen (Art. 190 IPRG)</w:t>
      </w:r>
    </w:p>
    <w:p>
      <w:pPr>
        <w:jc w:val="left"/>
      </w:pPr>
      <w:r>
        <w:rPr>
          <w:b/>
        </w:rPr>
        <w:t>Zur Öffentlichkeit:</w:t>
      </w:r>
    </w:p>
    <w:p>
      <w:pPr>
        <w:jc w:val="left"/>
      </w:pPr>
      <w:r>
        <w:t>Der EGMR kritisierte, dass CAS-Verfahren in Anti-Doping-Fällen nicht öffentlich sind. Für Pechstein wurde festgestellt: Die fehlende Öffentlichkeit allein verletzt nicht Art. 6 EMRK, wenn der Athlet nicht aktiv eine öffentliche Verhandlung beantragt hat. Der EGMR empfahl jedoch, die CAS-Regeln anzupassen.</w:t>
      </w:r>
    </w:p>
    <w:p>
      <w:pPr>
        <w:jc w:val="left"/>
      </w:pPr>
      <w:r>
        <w:rPr>
          <w:b/>
        </w:rPr>
        <w:t>Ergebnis:</w:t>
      </w:r>
      <w:r>
        <w:t xml:space="preserve"> Keine Verletzung von Art. 6 EMRK in beiden Fällen, aber wichtige Leitlinien für die Ausgestaltung sportrechtlicher Schiedsgerichtsbarkeit.</w:t>
      </w:r>
    </w:p>
    <w:p/>
    <w:p>
      <w:pPr>
        <w:pStyle w:val="Heading2"/>
      </w:pPr>
      <w:r>
        <w:rPr>
          <w:rFonts w:ascii="Times New Roman" w:hAnsi="Times New Roman"/>
        </w:rPr>
        <w:t>2. Auswirkungen auf den vorliegenden Fall</w:t>
      </w:r>
    </w:p>
    <w:p>
      <w:pPr>
        <w:pStyle w:val="Heading3"/>
      </w:pPr>
      <w:r>
        <w:rPr>
          <w:rFonts w:ascii="Times New Roman" w:hAnsi="Times New Roman"/>
        </w:rPr>
        <w:t>2.1 Schiedsklausel — Freiwilligkeit</w:t>
      </w:r>
    </w:p>
    <w:p>
      <w:pPr>
        <w:jc w:val="left"/>
      </w:pPr>
      <w:r>
        <w:t>Die Mandantin hat die DHB-Athletenvereinbarung am 15.01.2023 unterzeichnet, die die Schiedsklausel enthält. Nach der Pechstein-Linie des EGMR ist die Freiwilligkeit fraglich, da der DHB-Nationalkader faktisch ohne Unterwerfung unter die CAS-Jurisdiktion nicht zugänglich ist. Gleichwohl verletzt dies nach dem EGMR-Maßstab Art. 6 EMRK noch nicht.</w:t>
      </w:r>
    </w:p>
    <w:p>
      <w:pPr>
        <w:jc w:val="left"/>
      </w:pPr>
      <w:r>
        <w:rPr>
          <w:b/>
        </w:rPr>
        <w:t>Verteidigungspotenzial:</w:t>
      </w:r>
      <w:r>
        <w:t xml:space="preserve"> Die Mutu/Pechstein-Linie erlaubt es, bei gravierenden Verfahrensmängeln vor dem CAS eine Verletzung von Art. 6 EMRK geltend zu machen und ggf. vor dem Schweizer Bundesgericht oder dem EGMR weiterzukämpfen. Im vorliegenden Fall sind keine offensichtlichen Verfahrensmängel ersichtlich; dieses Argument ist eine Reserve für den Fall eines unfairen CAS-Verfahrens.</w:t>
      </w:r>
    </w:p>
    <w:p>
      <w:pPr>
        <w:pStyle w:val="Heading3"/>
      </w:pPr>
      <w:r>
        <w:rPr>
          <w:rFonts w:ascii="Times New Roman" w:hAnsi="Times New Roman"/>
        </w:rPr>
        <w:t>2.2 Unparteilichkeit des CAS-Panels</w:t>
      </w:r>
    </w:p>
    <w:p>
      <w:pPr>
        <w:jc w:val="left"/>
      </w:pPr>
      <w:r>
        <w:t>Die Mandantin nominierte Prof. Dr. Duval, einen ausgewiesenen EMRK/EU-Sportrechtsexperten, der kritisch gegenüber dem WADA-System steht. NADA nominierte Dr. Koval. Der Vorsitzende Hamilton wird vom CAS-Präsident ernannt. Es bestehen keine Anhaltspunkte für Befangenheit; ein Ablehnungsantrag ist derzeit nicht angebracht.</w:t>
      </w:r>
    </w:p>
    <w:p/>
    <w:p>
      <w:pPr>
        <w:pStyle w:val="Heading2"/>
      </w:pPr>
      <w:r>
        <w:rPr>
          <w:rFonts w:ascii="Times New Roman" w:hAnsi="Times New Roman"/>
        </w:rPr>
        <w:t>3. Weitere CAS-Rechtsprechung zur Kontaminationsthese</w:t>
      </w:r>
    </w:p>
    <w:p>
      <w:pPr>
        <w:pStyle w:val="Heading3"/>
      </w:pPr>
      <w:r>
        <w:rPr>
          <w:rFonts w:ascii="Times New Roman" w:hAnsi="Times New Roman"/>
        </w:rPr>
        <w:t>3.1 CAS 2011/A/2566 — Cilic ./. ITF</w:t>
      </w:r>
    </w:p>
    <w:p>
      <w:pPr>
        <w:jc w:val="left"/>
      </w:pPr>
      <w:r>
        <w:rPr>
          <w:b/>
        </w:rPr>
        <w:t>Sachverhalt:</w:t>
      </w:r>
      <w:r>
        <w:t xml:space="preserve"> Kroatischer Tennisspieler Marin Cilic (ATP Top-10), positiver Befund auf Nikethamid (S6-Stimulans) durch kontaminiertes Energiegel, das irrtümlich von seiner Mutter in der Apotheke gekauft wurde.</w:t>
      </w:r>
    </w:p>
    <w:p>
      <w:pPr>
        <w:jc w:val="left"/>
      </w:pPr>
      <w:r>
        <w:rPr>
          <w:b/>
        </w:rPr>
        <w:t>Ergebnis:</w:t>
      </w:r>
      <w:r>
        <w:t xml:space="preserve"> CAS reduzierte Sperre von 9 Monaten auf </w:t>
      </w:r>
      <w:r>
        <w:rPr>
          <w:b/>
        </w:rPr>
        <w:t>4 Monate</w:t>
      </w:r>
      <w:r>
        <w:t xml:space="preserve"> unter Anwendung von Art. 10.5.2 NADC (kein erhebliches Verschulden).</w:t>
      </w:r>
    </w:p>
    <w:p>
      <w:pPr>
        <w:jc w:val="left"/>
      </w:pPr>
      <w:r>
        <w:rPr>
          <w:b/>
        </w:rPr>
        <w:t>Relevanz für Uvalkanat:</w:t>
      </w:r>
      <w:r>
        <w:t xml:space="preserve"> Verwandter Sachverhalt; zeigt, dass CAS bei nachgewiesener Kontaminationsquelle und glaubhafter Geschichte erheblich reduziert.</w:t>
      </w:r>
    </w:p>
    <w:p>
      <w:pPr>
        <w:pStyle w:val="Heading3"/>
      </w:pPr>
      <w:r>
        <w:rPr>
          <w:rFonts w:ascii="Times New Roman" w:hAnsi="Times New Roman"/>
        </w:rPr>
        <w:t>3.2 CAS 2016/A/4372 — Halep ./. ITF</w:t>
      </w:r>
    </w:p>
    <w:p>
      <w:pPr>
        <w:jc w:val="left"/>
      </w:pPr>
      <w:r>
        <w:rPr>
          <w:b/>
        </w:rPr>
        <w:t>Sachverhalt:</w:t>
      </w:r>
      <w:r>
        <w:t xml:space="preserve"> Rumänische Tennisspielerin Simona Halep, positiver Befund auf Sibutramin (S6) in einem nicht-deklariert kontaminierten Supplement.</w:t>
      </w:r>
    </w:p>
    <w:p>
      <w:pPr>
        <w:jc w:val="left"/>
      </w:pPr>
      <w:r>
        <w:rPr>
          <w:b/>
        </w:rPr>
        <w:t>Ergebnis:</w:t>
      </w:r>
      <w:r>
        <w:t xml:space="preserve"> Sperre auf </w:t>
      </w:r>
      <w:r>
        <w:rPr>
          <w:b/>
        </w:rPr>
        <w:t>1 Monat</w:t>
      </w:r>
      <w:r>
        <w:t xml:space="preserve"> reduziert (praktisch durch provisorische Suspendierung bereits verbüßt).</w:t>
      </w:r>
    </w:p>
    <w:p>
      <w:pPr>
        <w:jc w:val="left"/>
      </w:pPr>
      <w:r>
        <w:rPr>
          <w:b/>
        </w:rPr>
        <w:t>Relevanz:</w:t>
      </w:r>
      <w:r>
        <w:t xml:space="preserve"> Ähnlich gelagerte Sachverhaltskonstellation; besonders günstig für unsere Position.</w:t>
      </w:r>
    </w:p>
    <w:p>
      <w:pPr>
        <w:pStyle w:val="Heading3"/>
      </w:pPr>
      <w:r>
        <w:rPr>
          <w:rFonts w:ascii="Times New Roman" w:hAnsi="Times New Roman"/>
        </w:rPr>
        <w:t>3.3 CAS 2024/A/9317 — Pawłowski ./. PZPS</w:t>
      </w:r>
    </w:p>
    <w:p>
      <w:pPr>
        <w:jc w:val="left"/>
      </w:pPr>
      <w:r>
        <w:rPr>
          <w:b/>
        </w:rPr>
        <w:t>Sachverhalt:</w:t>
      </w:r>
      <w:r>
        <w:t xml:space="preserve"> Polnischer Handballer Artur Pawłowski, positiver Meldonium-Befund (0,58 µg/mL) — also ähnliche Konzentration wie Uvalkanat — durch kontaminiertes Supplement (chinesischer Hersteller).</w:t>
      </w:r>
    </w:p>
    <w:p>
      <w:pPr>
        <w:jc w:val="left"/>
      </w:pPr>
      <w:r>
        <w:rPr>
          <w:b/>
        </w:rPr>
        <w:t>Ergebnis:</w:t>
      </w:r>
      <w:r>
        <w:t xml:space="preserve"> Sperre von 2 Jahren auf </w:t>
      </w:r>
      <w:r>
        <w:rPr>
          <w:b/>
        </w:rPr>
        <w:t>6 Monate</w:t>
      </w:r>
      <w:r>
        <w:t xml:space="preserve"> reduziert (Art. 10.5.1 NADC; erhebliches Verschulden verneint, da Produktkontamination nachgewiesen).</w:t>
      </w:r>
    </w:p>
    <w:p>
      <w:pPr>
        <w:jc w:val="left"/>
      </w:pPr>
      <w:r>
        <w:rPr>
          <w:b/>
        </w:rPr>
        <w:t>Relevanz:</w:t>
      </w:r>
      <w:r>
        <w:t xml:space="preserve"> </w:t>
      </w:r>
      <w:r>
        <w:rPr>
          <w:b/>
        </w:rPr>
        <w:t>Schlüsselpräzedenzfall</w:t>
      </w:r>
      <w:r>
        <w:t xml:space="preserve"> für Uvalkanat; gleiche Substanz, ähnliche Konzentration, Supplement-Kontamination. Panel wird aufgefordert, Pawłowski direkt zu folgen.</w:t>
      </w:r>
    </w:p>
    <w:p/>
    <w:p>
      <w:pPr>
        <w:pStyle w:val="Heading2"/>
      </w:pPr>
      <w:r>
        <w:rPr>
          <w:rFonts w:ascii="Times New Roman" w:hAnsi="Times New Roman"/>
        </w:rPr>
        <w:t>4. Schweizer Bundesgericht — Anschlusskontrolle</w:t>
      </w:r>
    </w:p>
    <w:p>
      <w:pPr>
        <w:pStyle w:val="Heading3"/>
      </w:pPr>
      <w:r>
        <w:rPr>
          <w:rFonts w:ascii="Times New Roman" w:hAnsi="Times New Roman"/>
        </w:rPr>
        <w:t>4.1 Rechtsmittelweg nach CAS</w:t>
      </w:r>
    </w:p>
    <w:p>
      <w:pPr>
        <w:jc w:val="left"/>
      </w:pPr>
      <w:r>
        <w:t xml:space="preserve">Gegen CAS-Schiedssprüche ist Beschwerde beim </w:t>
      </w:r>
      <w:r>
        <w:rPr>
          <w:b/>
        </w:rPr>
        <w:t>Schweizerischen Bundesgericht</w:t>
      </w:r>
      <w:r>
        <w:t xml:space="preserve"> möglich, jedoch nur unter engen Voraussetzungen (Art. 190 Abs. 2 IPRG):</w:t>
      </w:r>
    </w:p>
    <w:p>
      <w:pPr>
        <w:pStyle w:val="ListBullet"/>
      </w:pPr>
      <w:r>
        <w:t>Unzuständigkeit des Schiedsgerichts</w:t>
      </w:r>
    </w:p>
    <w:p>
      <w:pPr>
        <w:pStyle w:val="ListBullet"/>
      </w:pPr>
      <w:r>
        <w:t>Fehlerhaft zusammengesetztes Panel</w:t>
      </w:r>
    </w:p>
    <w:p>
      <w:pPr>
        <w:pStyle w:val="ListBullet"/>
      </w:pPr>
      <w:r>
        <w:t>Verletzung des Grundsatzes pacta sunt servanda</w:t>
      </w:r>
    </w:p>
    <w:p>
      <w:pPr>
        <w:pStyle w:val="ListBullet"/>
      </w:pPr>
      <w:r>
        <w:t>Unvereinbarkeit mit dem ordre public</w:t>
      </w:r>
    </w:p>
    <w:p>
      <w:pPr>
        <w:jc w:val="left"/>
      </w:pPr>
      <w:r>
        <w:t>Inhaltliche Kontrolle des CAS-Entscheids ist grundsätzlich ausgeschlossen. Das Bundesgericht prüft nur prozedurale und ordre-public-relevante Fehler.</w:t>
      </w:r>
    </w:p>
    <w:p>
      <w:pPr>
        <w:pStyle w:val="Heading3"/>
      </w:pPr>
      <w:r>
        <w:rPr>
          <w:rFonts w:ascii="Times New Roman" w:hAnsi="Times New Roman"/>
        </w:rPr>
        <w:t>4.2 EGMR als letzte Instanz</w:t>
      </w:r>
    </w:p>
    <w:p>
      <w:pPr>
        <w:jc w:val="left"/>
      </w:pPr>
      <w:r>
        <w:t>Nach Erschöpfung des innerstaatlichen Rechtswegs (Bundesgericht) steht der Weg zum EGMR offen, wenn eine Verletzung von EMRK-Rechten (insb. Art. 6) geltend gemacht wird. Die Pechstein-Linie zeigt, dass dieser Weg in extremen Fällen gangbar ist, aber selten Erfolg hat.</w:t>
      </w:r>
    </w:p>
    <w:p/>
    <w:p>
      <w:pPr>
        <w:pStyle w:val="Heading2"/>
      </w:pPr>
      <w:r>
        <w:rPr>
          <w:rFonts w:ascii="Times New Roman" w:hAnsi="Times New Roman"/>
        </w:rPr>
        <w:t>5. Bedeutung für die Mandantin</w:t>
      </w:r>
    </w:p>
    <w:p>
      <w:pPr>
        <w:jc w:val="left"/>
      </w:pPr>
      <w:r>
        <w:t>Die Mutu/Pechstein-Linie und die CAS-Präzedenzfälle ergeben folgendes Gesamtbild:</w:t>
      </w:r>
    </w:p>
    <w:p>
      <w:pPr>
        <w:pStyle w:val="ListNumber"/>
      </w:pPr>
      <w:r>
        <w:rPr>
          <w:b/>
        </w:rPr>
        <w:t>Das CAS-Verfahren ist grundsätzlich mit Art. 6 EMRK vereinbar</w:t>
      </w:r>
      <w:r>
        <w:t xml:space="preserve"> — das Panel wird die materiell-rechtliche Frage (Verschulden/Sanktionsbemessung) in den Vordergrund stellen.</w:t>
      </w:r>
    </w:p>
    <w:p>
      <w:pPr>
        <w:pStyle w:val="ListNumber"/>
      </w:pPr>
      <w:r>
        <w:rPr>
          <w:b/>
        </w:rPr>
        <w:t>Die Supplement-Kontaminations-Rechtsprechung (Halep, Pawłowski) ist für Uvalkanat günstig</w:t>
      </w:r>
      <w:r>
        <w:t xml:space="preserve"> — eine Reduzierung auf 6–12 Monate ist realistisch.</w:t>
      </w:r>
    </w:p>
    <w:p>
      <w:pPr>
        <w:pStyle w:val="ListNumber"/>
      </w:pPr>
      <w:r>
        <w:rPr>
          <w:b/>
        </w:rPr>
        <w:t>Das CAS hat keine Hemmungen, den deutschen Schiedsspruch umfassend zu überprüfen</w:t>
      </w:r>
      <w:r>
        <w:t xml:space="preserve"> — De-novo-Prüfung in Anti-Doping-Fällen ist Standard (Art. R57 CAS Code).</w:t>
      </w:r>
    </w:p>
    <w:p>
      <w:pPr>
        <w:pStyle w:val="ListNumber"/>
      </w:pPr>
      <w:r>
        <w:rPr>
          <w:b/>
        </w:rPr>
        <w:t>Zielposition:</w:t>
      </w:r>
      <w:r>
        <w:t xml:space="preserve"> Sperre max. 8 Monate (mit bereits verbüßter provisorischer Suspendierung: de facto sofortige Spielberechtigung nach CAS-Entscheid).</w:t>
      </w:r>
    </w:p>
    <w:p/>
    <w:p>
      <w:pPr>
        <w:jc w:val="left"/>
      </w:pPr>
      <w:r>
        <w:rPr>
          <w:i/>
        </w:rPr>
        <w:t>Quellen: EGMR, Urt. 02.10.2018, Az. 40575/10 und 67474/10 (Mutu/Pechstein ./. Schweiz); CAS 2011/A/2566 (Cilic); CAS 2016/A/4372 (Halep); CAS 2024/A/9317 (Pawłowski); Art. 6 EMRK; Art. 190 Abs. 2 IPRG (Schweiz); Art. R57, R58 CAS Code.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