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Fristlose Kündigung BSV Sachsen Zwickau e.V., 12.03.2026</w:t>
      </w:r>
    </w:p>
    <w:p>
      <w:pPr>
        <w:jc w:val="left"/>
      </w:pPr>
      <w:r>
        <w:rPr>
          <w:b/>
        </w:rPr>
        <w:t>Erstellt:</w:t>
      </w:r>
      <w:r>
        <w:t xml:space="preserve"> 14.03.2026</w:t>
      </w:r>
    </w:p>
    <w:p>
      <w:pPr>
        <w:jc w:val="left"/>
      </w:pPr>
      <w:r>
        <w:rPr>
          <w:b/>
        </w:rPr>
        <w:t>Bearbeiter:</w:t>
      </w:r>
      <w:r>
        <w:t xml:space="preserve"> RAin Sophie Wenderlich</w:t>
      </w:r>
    </w:p>
    <w:p>
      <w:pPr>
        <w:jc w:val="left"/>
      </w:pPr>
      <w:r>
        <w:rPr>
          <w:b/>
        </w:rPr>
        <w:t>AZ:</w:t>
      </w:r>
      <w:r>
        <w:t xml:space="preserve"> SU/DOPING/2026-001 / ArbG Chemnitz 4 Ca 88/26</w:t>
      </w:r>
    </w:p>
    <w:p/>
    <w:p>
      <w:pPr>
        <w:pStyle w:val="Heading2"/>
      </w:pPr>
      <w:r>
        <w:rPr>
          <w:rFonts w:ascii="Times New Roman" w:hAnsi="Times New Roman"/>
        </w:rPr>
        <w:t>1. Kündigungsschreiben BSV Sachsen Zwickau (12.03.2026)</w:t>
      </w:r>
    </w:p>
    <w:p>
      <w:pPr>
        <w:jc w:val="left"/>
      </w:pPr>
      <w:r>
        <w:t>Am 12.03.2026 erhielt die Mandantin per Boten folgendes Schreiben des BSV Sachsen Zwickau e.V.:</w:t>
      </w:r>
    </w:p>
    <w:p/>
    <w:p>
      <w:pPr>
        <w:jc w:val="left"/>
      </w:pPr>
      <w:r>
        <w:rPr>
          <w:i/>
        </w:rPr>
        <w:t>[Vereinsbriefkopf BSV Sachsen Zwickau e.V., Am Scheffelberg 3, 08056 Zwickau]</w:t>
      </w:r>
    </w:p>
    <w:p>
      <w:pPr>
        <w:jc w:val="left"/>
      </w:pPr>
      <w:r>
        <w:rPr>
          <w:b/>
        </w:rPr>
        <w:t>Kündigung des Arbeitsvertrages</w:t>
      </w:r>
    </w:p>
    <w:p>
      <w:pPr>
        <w:jc w:val="left"/>
      </w:pPr>
      <w:r>
        <w:t>Sehr geehrte Frau Uvalkanat,</w:t>
      </w:r>
    </w:p>
    <w:p>
      <w:pPr>
        <w:jc w:val="left"/>
      </w:pPr>
      <w:r>
        <w:t>hiermit kündigen wir den zwischen uns bestehenden Arbeitsvertrag vom 01.07.2024 mit sofortiger Wirkung, hilfsweise zum nächstmöglichen Termin, außerordentlich aus wichtigem Grund gemäß § 626 Abs. 1 BGB.</w:t>
      </w:r>
    </w:p>
    <w:p>
      <w:pPr>
        <w:jc w:val="left"/>
      </w:pPr>
      <w:r>
        <w:rPr>
          <w:b/>
        </w:rPr>
        <w:t>Grund der Kündigung:</w:t>
      </w:r>
    </w:p>
    <w:p>
      <w:pPr>
        <w:jc w:val="left"/>
      </w:pPr>
      <w:r>
        <w:t>Durch Schreiben der NADA Deutschland e.V. vom 27.02.2026 wurden wir über einen positiven Dopingbefund (Meldonium) bei Ihrer Person informiert. Am 04.03.2026 wurde uns die Bestätigung durch die B-Probe mitgeteilt. Damit liegt ein Verstoß gegen Art. 2.1 NADC vor, was nach § 7 Abs. 7 Ihres Arbeitsvertrages eine außerordentliche Kündigung berechtigt.</w:t>
      </w:r>
    </w:p>
    <w:p>
      <w:pPr>
        <w:jc w:val="left"/>
      </w:pPr>
      <w:r>
        <w:t>Der BSV Sachsen Zwickau e.V. duldet keinerlei Dopingverstöße. Das Vertrauen in Ihre Person als Leistungssportlerin ist durch den vorliegenden Sachverhalt unwiederbringlich zerstört.</w:t>
      </w:r>
    </w:p>
    <w:p>
      <w:pPr>
        <w:jc w:val="left"/>
      </w:pPr>
      <w:r>
        <w:t>Wir bitten Sie, sämtliche Vereinsgegenstände (Trikots, Trainingsausrüstung, Schlüssel) bis 20.03.2026 zurückzugeben.</w:t>
      </w:r>
    </w:p>
    <w:p>
      <w:pPr>
        <w:jc w:val="left"/>
      </w:pPr>
      <w:r>
        <w:rPr>
          <w:i/>
        </w:rPr>
        <w:t>Zwickau, 12.03.2026</w:t>
      </w:r>
    </w:p>
    <w:p>
      <w:pPr>
        <w:jc w:val="left"/>
      </w:pPr>
      <w:r>
        <w:rPr>
          <w:i/>
        </w:rPr>
        <w:t>Volker Bernstein, 1. Vorsitzender BSV Sachsen Zwickau e.V.</w:t>
      </w:r>
    </w:p>
    <w:p/>
    <w:p>
      <w:pPr>
        <w:pStyle w:val="Heading2"/>
      </w:pPr>
      <w:r>
        <w:rPr>
          <w:rFonts w:ascii="Times New Roman" w:hAnsi="Times New Roman"/>
        </w:rPr>
        <w:t>2. Rechtliche Analyse der Kündigung</w:t>
      </w:r>
    </w:p>
    <w:p>
      <w:pPr>
        <w:pStyle w:val="Heading3"/>
      </w:pPr>
      <w:r>
        <w:rPr>
          <w:rFonts w:ascii="Times New Roman" w:hAnsi="Times New Roman"/>
        </w:rPr>
        <w:t>2.1 Voraussetzungen § 626 BGB</w:t>
      </w:r>
    </w:p>
    <w:p>
      <w:pPr>
        <w:jc w:val="left"/>
      </w:pPr>
      <w:r>
        <w:t>§ 626 Abs. 1 BGB: „Das Dienstverhältnis kann von jedem Vertragsteil aus wichtigem Grund ohne Einhaltung einer Kündigungsfrist gekündigt werden, wenn Tatsachen vorliegen, aufgrund derer dem Kündigenden unter Berücksichtigung aller Umstände des Einzelfalls und unter Abwägung der Interessen beider Vertragsteile die Fortsetzung des Dienstverhältnisses bis zum Ablauf der Kündigungsfrist oder bis zu der vereinbarten Beendigung des Dienstverhältnisses nicht zugemutet werden kann."</w:t>
      </w:r>
    </w:p>
    <w:p>
      <w:pPr>
        <w:jc w:val="left"/>
      </w:pPr>
      <w:r>
        <w:t>§ 626 Abs. 2 BGB: Die Kündigung kann nur innerhalb von 2 Wochen erfolgen, nachdem der Kündigungsberechtigte von den für die Kündigung maßgebenden Tatsachen Kenntnis erlangt hat.</w:t>
      </w:r>
    </w:p>
    <w:p>
      <w:pPr>
        <w:pStyle w:val="Heading3"/>
      </w:pPr>
      <w:r>
        <w:rPr>
          <w:rFonts w:ascii="Times New Roman" w:hAnsi="Times New Roman"/>
        </w:rPr>
        <w:t>2.2 Wichtiger Grund — Prüfung</w:t>
      </w:r>
    </w:p>
    <w:p>
      <w:pPr>
        <w:jc w:val="left"/>
      </w:pPr>
      <w:r>
        <w:rPr>
          <w:b/>
        </w:rPr>
        <w:t>Vorliegen eines Sachverhalts:</w:t>
      </w:r>
    </w:p>
    <w:p>
      <w:pPr>
        <w:jc w:val="left"/>
      </w:pPr>
      <w:r>
        <w:t>Der BSV stützt die Kündigung auf den positiven Dopingbefund. Ein positiver Dopingbefund ist grundsätzlich geeignet, einen wichtigen Grund darzustellen — jedoch nicht automatisch. Entscheidend ist eine Interessenabwägung.</w:t>
      </w:r>
    </w:p>
    <w:p>
      <w:pPr>
        <w:jc w:val="left"/>
      </w:pPr>
      <w:r>
        <w:rPr>
          <w:b/>
        </w:rPr>
        <w:t>Interessenabwägung:</w:t>
      </w:r>
    </w:p>
    <w:p>
      <w:pPr>
        <w:jc w:val="left"/>
      </w:pPr>
      <w:r>
        <w:rPr>
          <w:i/>
        </w:rPr>
        <w:t>Für die Kündigung:</w:t>
      </w:r>
    </w:p>
    <w:p>
      <w:pPr>
        <w:pStyle w:val="ListBullet"/>
      </w:pPr>
      <w:r>
        <w:t>Verpflichtung des Vereins zu sauberem Sport (Sponsorenpflichten, Verbandssatzung)</w:t>
      </w:r>
    </w:p>
    <w:p>
      <w:pPr>
        <w:pStyle w:val="ListBullet"/>
      </w:pPr>
      <w:r>
        <w:t>Vorläufige Suspendierung macht Spielerin unverfügbar</w:t>
      </w:r>
    </w:p>
    <w:p>
      <w:pPr>
        <w:pStyle w:val="ListBullet"/>
      </w:pPr>
      <w:r>
        <w:t>Reputationsschaden des Vereins</w:t>
      </w:r>
    </w:p>
    <w:p>
      <w:pPr>
        <w:pStyle w:val="ListBullet"/>
      </w:pPr>
      <w:r>
        <w:t>Arbeitsvertrag Abs. 7 sieht Kündigungsrecht vor</w:t>
      </w:r>
    </w:p>
    <w:p>
      <w:pPr>
        <w:jc w:val="left"/>
      </w:pPr>
      <w:r>
        <w:rPr>
          <w:i/>
        </w:rPr>
        <w:t>Gegen die Kündigung:</w:t>
      </w:r>
    </w:p>
    <w:p>
      <w:pPr>
        <w:pStyle w:val="ListBullet"/>
      </w:pPr>
      <w:r>
        <w:t>Kündigung erfolgt, bevor ein rechtskräftiger Schiedsspruch vorliegt</w:t>
      </w:r>
    </w:p>
    <w:p>
      <w:pPr>
        <w:pStyle w:val="ListBullet"/>
      </w:pPr>
      <w:r>
        <w:t>Kontaminationsthese ist plausibel und wird gerichtlich untersucht</w:t>
      </w:r>
    </w:p>
    <w:p>
      <w:pPr>
        <w:pStyle w:val="ListBullet"/>
      </w:pPr>
      <w:r>
        <w:t>7-jährige Vereinsbindung (seit U17) — besondere Loyalitätsbeziehung</w:t>
      </w:r>
    </w:p>
    <w:p>
      <w:pPr>
        <w:pStyle w:val="ListBullet"/>
      </w:pPr>
      <w:r>
        <w:t>Dopingbefund liegt nur knapp über dem Schwellenwert</w:t>
      </w:r>
    </w:p>
    <w:p>
      <w:pPr>
        <w:pStyle w:val="ListBullet"/>
      </w:pPr>
      <w:r>
        <w:t>Kein Straf- oder Disziplinarurteil ist ergangen</w:t>
      </w:r>
    </w:p>
    <w:p>
      <w:pPr>
        <w:jc w:val="left"/>
      </w:pPr>
      <w:r>
        <w:rPr>
          <w:b/>
        </w:rPr>
        <w:t>Rechtsprechung BAG:</w:t>
      </w:r>
      <w:r>
        <w:t xml:space="preserve"> Das Bundesarbeitsgericht hat wiederholt entschieden, dass eine fristlose Kündigung wegen Dopingverdachts vor rechtskräftigem Abschluss des Disziplinarverfahrens regelmäßig unwirksam ist, wenn der Arbeitnehmer den Vorwurf substantiiert bestreitet (BAG, Urt. 06.08.1987, Az. 2 AZR 226/87; bestätigt durch LAG Sachsen, Urt. 15.03.2019, Az. 3 Sa 441/18).</w:t>
      </w:r>
    </w:p>
    <w:p>
      <w:pPr>
        <w:pStyle w:val="Heading3"/>
      </w:pPr>
      <w:r>
        <w:rPr>
          <w:rFonts w:ascii="Times New Roman" w:hAnsi="Times New Roman"/>
        </w:rPr>
        <w:t>2.3 Ausschlussfrist § 626 Abs. 2 BGB</w:t>
      </w:r>
    </w:p>
    <w:p>
      <w:pPr>
        <w:jc w:val="left"/>
      </w:pPr>
      <w:r>
        <w:t xml:space="preserve">BSV hatte Kenntnis vom Dopingbefund spätestens am 27.02.2026 (Schreiben NADA). Die 2-Wochen-Frist lief damit bis </w:t>
      </w:r>
      <w:r>
        <w:rPr>
          <w:b/>
        </w:rPr>
        <w:t>13.03.2026</w:t>
      </w:r>
      <w:r>
        <w:t xml:space="preserve">. Kündigung datiert auf 12.03.2026 — </w:t>
      </w:r>
      <w:r>
        <w:rPr>
          <w:b/>
        </w:rPr>
        <w:t>fristgerecht</w:t>
      </w:r>
      <w:r>
        <w:t xml:space="preserve"> innerhalb der Ausschlussfrist.</w:t>
      </w:r>
    </w:p>
    <w:p/>
    <w:p>
      <w:pPr>
        <w:pStyle w:val="Heading2"/>
      </w:pPr>
      <w:r>
        <w:rPr>
          <w:rFonts w:ascii="Times New Roman" w:hAnsi="Times New Roman"/>
        </w:rPr>
        <w:t>3. Klageziele im Kündigungsschutzverfahren</w:t>
      </w:r>
    </w:p>
    <w:p>
      <w:pPr>
        <w:pStyle w:val="Heading3"/>
      </w:pPr>
      <w:r>
        <w:rPr>
          <w:rFonts w:ascii="Times New Roman" w:hAnsi="Times New Roman"/>
        </w:rPr>
        <w:t>3.1 Unwirksamkeit der Kündigung</w:t>
      </w:r>
    </w:p>
    <w:p>
      <w:pPr>
        <w:jc w:val="left"/>
      </w:pPr>
      <w:r>
        <w:rPr>
          <w:b/>
        </w:rPr>
        <w:t>Primärantrag:</w:t>
      </w:r>
      <w:r>
        <w:t xml:space="preserve"> Feststellung der Unwirksamkeit der fristlosen Kündigung nach § 626 BGB wegen fehlenden wichtigen Grundes. Hilfsweise: Unwirksamkeit wegen überschrittener Interessenabwägung. Rechtsfolge: Arbeitsvertrag besteht fort; Annahmeverzugslohn nach § 615 BGB.</w:t>
      </w:r>
    </w:p>
    <w:p>
      <w:pPr>
        <w:jc w:val="left"/>
      </w:pPr>
      <w:r>
        <w:rPr>
          <w:b/>
        </w:rPr>
        <w:t>Annahmeverzugslohn:</w:t>
      </w:r>
      <w:r>
        <w:t xml:space="preserve"> BSV schuldet ab 13.03.2026 den vertraglichen Arbeitslohn (6.200 EUR brutto/Monat), auch ohne Gegenleistung, wenn die Kündigung unwirksam ist. Bei Verfahrensdauer von 12 Monaten bis zum rechtskräftigen Urteil: ca. 74.400 EUR Annahmeverzugslohn.</w:t>
      </w:r>
    </w:p>
    <w:p>
      <w:pPr>
        <w:pStyle w:val="Heading3"/>
      </w:pPr>
      <w:r>
        <w:rPr>
          <w:rFonts w:ascii="Times New Roman" w:hAnsi="Times New Roman"/>
        </w:rPr>
        <w:t>3.2 Weiterbeschäftigung</w:t>
      </w:r>
    </w:p>
    <w:p>
      <w:pPr>
        <w:jc w:val="left"/>
      </w:pPr>
      <w:r>
        <w:t>Hilfsantrag: Bis zur rechtskräftigen Entscheidung ist BSV zur Weiterbeschäftigung verpflichtet (wenn die vorläufige Suspendierung aufgehoben wird). Im Widerspruch zu NADA-Suspendierung — auf dieses Spannungsfeld weisen wir BSV-Anwalt hin.</w:t>
      </w:r>
    </w:p>
    <w:p>
      <w:pPr>
        <w:pStyle w:val="Heading3"/>
      </w:pPr>
      <w:r>
        <w:rPr>
          <w:rFonts w:ascii="Times New Roman" w:hAnsi="Times New Roman"/>
        </w:rPr>
        <w:t>3.3 Auflösung und Abfindung</w:t>
      </w:r>
    </w:p>
    <w:p>
      <w:pPr>
        <w:jc w:val="left"/>
      </w:pPr>
      <w:r>
        <w:t>Äußerster Hilfsantrag: Falls Weiterbeschäftigung unzumutbar ist, Auflösung des Arbeitsverhältnisses durch Urteil nach § 9 KSchG und Zahlung einer Abfindung. Berechnung: 0,5 Monatsgehälter pro Beschäftigungsjahr = 0,5 × 7 × 6.200 EUR = 21.700 EUR. (Richtwert; tatsächliche Höhe durch Ermessen des Gerichts.)</w:t>
      </w:r>
    </w:p>
    <w:p/>
    <w:p>
      <w:pPr>
        <w:pStyle w:val="Heading2"/>
      </w:pPr>
      <w:r>
        <w:rPr>
          <w:rFonts w:ascii="Times New Roman" w:hAnsi="Times New Roman"/>
        </w:rPr>
        <w:t>4. Zuständigkeit und Verfahren</w:t>
      </w:r>
    </w:p>
    <w:p>
      <w:pPr>
        <w:jc w:val="left"/>
      </w:pPr>
      <w:r>
        <w:rPr>
          <w:b/>
        </w:rPr>
        <w:t>Zuständiges Gericht:</w:t>
      </w:r>
      <w:r>
        <w:t xml:space="preserve"> Arbeitsgericht Chemnitz — da der Arbeitsort (Trainings- und Spielbetrieb) in Zwickau liegt (§ 48 Abs. 1a ArbGG: Ort der gewöhnlichen Arbeit). Sachsen-weite Zuständigkeit → ArbG Chemnitz.</w:t>
      </w:r>
    </w:p>
    <w:p>
      <w:pPr>
        <w:jc w:val="left"/>
      </w:pPr>
      <w:r>
        <w:rPr>
          <w:b/>
        </w:rPr>
        <w:t>Klagefrist:</w:t>
      </w:r>
      <w:r>
        <w:t xml:space="preserve"> § 4 KSchG: 3 Wochen ab Zugang der Kündigung. Kündigung zugegangen: 12.03.2026. Frist: </w:t>
      </w:r>
      <w:r>
        <w:rPr>
          <w:b/>
        </w:rPr>
        <w:t>02.04.2026</w:t>
      </w:r>
      <w:r>
        <w:t xml:space="preserve">. Klage eingereicht: </w:t>
      </w:r>
      <w:r>
        <w:rPr>
          <w:b/>
        </w:rPr>
        <w:t>20.03.2026</w:t>
      </w:r>
      <w:r>
        <w:t xml:space="preserve"> (fristgerecht).</w:t>
      </w:r>
    </w:p>
    <w:p>
      <w:pPr>
        <w:jc w:val="left"/>
      </w:pPr>
      <w:r>
        <w:rPr>
          <w:b/>
        </w:rPr>
        <w:t>AZ:</w:t>
      </w:r>
      <w:r>
        <w:t xml:space="preserve"> 4 Ca 88/26 (ArbG Chemnitz)</w:t>
      </w:r>
    </w:p>
    <w:p>
      <w:pPr>
        <w:jc w:val="left"/>
      </w:pPr>
      <w:r>
        <w:rPr>
          <w:b/>
        </w:rPr>
        <w:t>Gütetermin:</w:t>
      </w:r>
      <w:r>
        <w:t xml:space="preserve"> Voraussichtlich Mai/Juni 2026 (ArbG Chemnitz ist moderat belastet).</w:t>
      </w:r>
    </w:p>
    <w:p/>
    <w:p>
      <w:pPr>
        <w:jc w:val="left"/>
      </w:pPr>
      <w:r>
        <w:rPr>
          <w:i/>
        </w:rPr>
        <w:t>Quellen: § 626 BGB (fristlose Kündigung); § 4 KSchG (Klagefrist); § 9 KSchG (Auflösung); § 615 BGB (Annahmeverzug); § 48 ArbGG; BAG, Urt. 06.08.1987, Az. 2 AZR 226/87; LAG Sachsen, Urt. 15.03.2019, Az. 3 Sa 441/18.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