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21 — Verbandssanktionen: DHB-Bundeskaderausschluss, EHF/IHF-Wechselsperre</w:t>
      </w:r>
    </w:p>
    <w:p>
      <w:pPr>
        <w:jc w:val="left"/>
      </w:pPr>
      <w:r>
        <w:rPr>
          <w:b/>
        </w:rPr>
        <w:t>Erstellt:</w:t>
      </w:r>
      <w:r>
        <w:t xml:space="preserve"> 05.05.2026</w:t>
      </w:r>
    </w:p>
    <w:p>
      <w:pPr>
        <w:jc w:val="left"/>
      </w:pPr>
      <w:r>
        <w:rPr>
          <w:b/>
        </w:rPr>
        <w:t>Bearbeiter:</w:t>
      </w:r>
      <w:r>
        <w:t xml:space="preserve"> RA Prof. Dr. Markus Lentze / RAin Sophie Wenderlich</w:t>
      </w:r>
    </w:p>
    <w:p>
      <w:pPr>
        <w:jc w:val="left"/>
      </w:pPr>
      <w:r>
        <w:rPr>
          <w:b/>
        </w:rPr>
        <w:t>AZ:</w:t>
      </w:r>
      <w:r>
        <w:t xml:space="preserve"> SU/DOPING/2026-001</w:t>
      </w:r>
    </w:p>
    <w:p/>
    <w:p>
      <w:pPr>
        <w:pStyle w:val="Heading2"/>
      </w:pPr>
      <w:r>
        <w:rPr>
          <w:rFonts w:ascii="Times New Roman" w:hAnsi="Times New Roman"/>
        </w:rPr>
        <w:t>1. DHB-Bundeskaderausschluss</w:t>
      </w:r>
    </w:p>
    <w:p>
      <w:pPr>
        <w:pStyle w:val="Heading3"/>
      </w:pPr>
      <w:r>
        <w:rPr>
          <w:rFonts w:ascii="Times New Roman" w:hAnsi="Times New Roman"/>
        </w:rPr>
        <w:t>1.1 DHB-Beschluss (02.03.2026)</w:t>
      </w:r>
    </w:p>
    <w:p>
      <w:pPr>
        <w:jc w:val="left"/>
      </w:pPr>
      <w:r>
        <w:t>Mit Schreiben vom 02.03.2026 informierte DHB-Generalsekretär Thomas Bergmann die Mandantin, dass sie mit sofortiger Wirkung nicht mehr für den Bundeskader (A-Nationalmannschaft) nominierbar ist, bis das Anti-Doping-Verfahren abgeschlossen ist. Dies folge aus den DHB-Anti-Doping-Richtlinien § 8 Abs. 3: „Bei einer vorläufigen Suspendierung nach NADC Art. 7.3.2 ist die betroffene Athletin bis zur Aufhebung der Suspendierung oder bis zum rechtskräftigen Abschluss des Verfahrens vom Bundeskader auszuschließen."</w:t>
      </w:r>
    </w:p>
    <w:p>
      <w:pPr>
        <w:jc w:val="left"/>
      </w:pPr>
      <w:r>
        <w:rPr>
          <w:b/>
        </w:rPr>
        <w:t>Rechtsgrundlage DHB:</w:t>
      </w:r>
      <w:r>
        <w:t xml:space="preserve"> Der DHB-Beschluss stützt sich auf die DHB-Satzung § 14 Abs. 4 (Verbandsdisziplin) und die DHB-Anti-Doping-Richtlinien 2023. Dieser Ausschluss ist unmittelbar verbunden mit der NADA-Suspendierung und damit inhaltlich keine eigenständige Sanktion.</w:t>
      </w:r>
    </w:p>
    <w:p>
      <w:pPr>
        <w:pStyle w:val="Heading3"/>
      </w:pPr>
      <w:r>
        <w:rPr>
          <w:rFonts w:ascii="Times New Roman" w:hAnsi="Times New Roman"/>
        </w:rPr>
        <w:t>1.2 Überprüfung durch unabhängiges Sportgericht</w:t>
      </w:r>
    </w:p>
    <w:p>
      <w:pPr>
        <w:jc w:val="left"/>
      </w:pPr>
      <w:r>
        <w:t>Die Mandantin beantragte am 18.03.2026 die Überprüfung des Bundeskaderausschlusses durch das DHB-interne Rechtsorgan (Sportgericht DHB, § 21 DHB-Satzung). Das Sportgericht DHB entschied am 15.04.2026:</w:t>
      </w:r>
    </w:p>
    <w:p>
      <w:pPr>
        <w:jc w:val="left"/>
      </w:pPr>
      <w:r>
        <w:rPr>
          <w:b/>
        </w:rPr>
        <w:t>Beschluss DHB-Sportgericht:</w:t>
      </w:r>
    </w:p>
    <w:p>
      <w:pPr>
        <w:jc w:val="left"/>
      </w:pPr>
      <w:r>
        <w:t>„Der Bundeskaderausschluss nach DHB-Anti-Doping-Richtlinien § 8 Abs. 3 ist nicht eigenständig anfechtbar — er ist automatische Folge der NADA-Suspendierung und daher untrennbar mit dieser verbunden. Das DHB-Sportgericht ist nicht zuständig, die NADA-Suspendierung zu überprüfen; dies obliegt dem Deutschen Sportschiedsgericht. Der Antrag wird zurückgewiesen."</w:t>
      </w:r>
    </w:p>
    <w:p>
      <w:pPr>
        <w:pStyle w:val="Heading3"/>
      </w:pPr>
      <w:r>
        <w:rPr>
          <w:rFonts w:ascii="Times New Roman" w:hAnsi="Times New Roman"/>
        </w:rPr>
        <w:t>1.3 Rechtliche Bewertung</w:t>
      </w:r>
    </w:p>
    <w:p>
      <w:pPr>
        <w:jc w:val="left"/>
      </w:pPr>
      <w:r>
        <w:t>Die Verknüpfung von NADA-Suspendierung und DHB-Kaderausschluss ist aus Effizienzgründen verständlich, aber rechtlich angreifbar:</w:t>
      </w:r>
    </w:p>
    <w:p>
      <w:pPr>
        <w:pStyle w:val="ListNumber"/>
      </w:pPr>
      <w:r>
        <w:rPr>
          <w:b/>
        </w:rPr>
        <w:t>Verfahrensgrundrechte (Art. 103 GG analog):</w:t>
      </w:r>
      <w:r>
        <w:t xml:space="preserve"> Der Bundeskaderausschluss hat erhebliche wirtschaftliche und persönliche Bedeutung (Prämien, Renommee, WM-Nominierung 2027). Eine automatische Verknüpfung ohne eigenes Anhörungsverfahren verletzt möglicherweise Art. 103 GG analog (strukturelle Anforderung an Verbandsverfahren nach BGH, Urt. 28.11.1994, II ZR 238/93 — FICA-Linie).</w:t>
      </w:r>
    </w:p>
    <w:p>
      <w:pPr>
        <w:pStyle w:val="ListNumber"/>
      </w:pPr>
      <w:r>
        <w:rPr>
          <w:b/>
        </w:rPr>
        <w:t>Verhältnismäßigkeit:</w:t>
      </w:r>
      <w:r>
        <w:t xml:space="preserve"> Der Bundeskaderausschluss geht über die sportliche Sperre hinaus — er schließt die Athletin auch von nicht-wettbewerbsbezogenen Nationalmannschaftsaktivitäten aus (Lehrgänge, Pressekonferenzen, Werbung für DHB). Dies ist unverhältnismäßig, solange kein rechtskräftiger ADRV vorliegt.</w:t>
      </w:r>
    </w:p>
    <w:p>
      <w:pPr>
        <w:pStyle w:val="ListNumber"/>
      </w:pPr>
      <w:r>
        <w:rPr>
          <w:b/>
        </w:rPr>
        <w:t>Mutu/Pechstein-Linie:</w:t>
      </w:r>
      <w:r>
        <w:t xml:space="preserve"> Analog zu den EGMR-Vorgaben für den CAS gelten auch für DHB-interne Verfahren Mindeststandards nach Art. 6 EMRK. Das Fehlen eines eigenen Anhörungsverfahrens vor dem Bundeskaderausschluss genügt diesen Standards nicht.</w:t>
      </w:r>
    </w:p>
    <w:p>
      <w:pPr>
        <w:jc w:val="left"/>
      </w:pPr>
      <w:r>
        <w:t>Die Kanzlei hat eine Klage vor dem ordentlichen Landgericht (§ 1 GVG i.V.m. §§ 242, 315 BGB — Kontrolle von Verbandsentscheidungen) als Reserve vorbereitet.</w:t>
      </w:r>
    </w:p>
    <w:p/>
    <w:p>
      <w:pPr>
        <w:pStyle w:val="Heading2"/>
      </w:pPr>
      <w:r>
        <w:rPr>
          <w:rFonts w:ascii="Times New Roman" w:hAnsi="Times New Roman"/>
        </w:rPr>
        <w:t>2. EHF/IHF-Wechselsperre (24 Monate)</w:t>
      </w:r>
    </w:p>
    <w:p>
      <w:pPr>
        <w:pStyle w:val="Heading3"/>
      </w:pPr>
      <w:r>
        <w:rPr>
          <w:rFonts w:ascii="Times New Roman" w:hAnsi="Times New Roman"/>
        </w:rPr>
        <w:t>2.1 Sachverhalt</w:t>
      </w:r>
    </w:p>
    <w:p>
      <w:pPr>
        <w:jc w:val="left"/>
      </w:pPr>
      <w:r>
        <w:t xml:space="preserve">Die </w:t>
      </w:r>
      <w:r>
        <w:rPr>
          <w:b/>
        </w:rPr>
        <w:t>European Handball Federation (EHF)</w:t>
      </w:r>
      <w:r>
        <w:t xml:space="preserve"> und die </w:t>
      </w:r>
      <w:r>
        <w:rPr>
          <w:b/>
        </w:rPr>
        <w:t>International Handball Federation (IHF)</w:t>
      </w:r>
      <w:r>
        <w:t xml:space="preserve"> haben automatische Transfersperren für Athleten mit laufenden Anti-Doping-Verfahren. Nach EHF-Transferreglement Art. 15.3 (Stand 2024): „Athleten, gegen die ein ADRV-Verfahren läuft, sind für die Dauer des Verfahrens vom internationalen Transfer ausgeschlossen."</w:t>
      </w:r>
    </w:p>
    <w:p>
      <w:pPr>
        <w:jc w:val="left"/>
      </w:pPr>
      <w:r>
        <w:t>Die IHF-Regeln (IHF Player Transfer Regulations 2023, Art. 12) sehen eine Wechselsperre von 24 Monaten vor, wenn eine erste Instanz eine Sperre von mehr als 12 Monaten ausgesprochen hat.</w:t>
      </w:r>
    </w:p>
    <w:p>
      <w:pPr>
        <w:jc w:val="left"/>
      </w:pPr>
      <w:r>
        <w:rPr>
          <w:b/>
        </w:rPr>
        <w:t>Anwendung auf Uvalkanat:</w:t>
      </w:r>
      <w:r>
        <w:t xml:space="preserve"> Nach dem DSGSp-Schiedsspruch vom 30.06.2026 (2-Jahres-Sperre, nicht rechtskräftig wegen CAS-Berufung) hat die IHF die 24-monatige Wechselsperre aktiviert. Damit kann die Mandantin — selbst wenn die CAS-Sperre kürzer ausfällt — für 24 Monate nicht zu einem anderen Verein wechseln.</w:t>
      </w:r>
    </w:p>
    <w:p>
      <w:pPr>
        <w:pStyle w:val="Heading3"/>
      </w:pPr>
      <w:r>
        <w:rPr>
          <w:rFonts w:ascii="Times New Roman" w:hAnsi="Times New Roman"/>
        </w:rPr>
        <w:t>2.2 Kritik und Überprüfungsantrag</w:t>
      </w:r>
    </w:p>
    <w:p>
      <w:pPr>
        <w:jc w:val="left"/>
      </w:pPr>
      <w:r>
        <w:t>Die Wechselsperre der IHF greift unabhängig vom CAS-Verfahren und auf Basis einer nicht rechtskräftigen erstinstanzlichen Entscheidung. Dies ist rechtlich problematisch:</w:t>
      </w:r>
    </w:p>
    <w:p>
      <w:pPr>
        <w:pStyle w:val="ListBullet"/>
      </w:pPr>
      <w:r>
        <w:t>Die IHF wendet IHF-interne Regeln an, die nicht identisch mit NADC/WADC sind</w:t>
      </w:r>
    </w:p>
    <w:p>
      <w:pPr>
        <w:pStyle w:val="ListBullet"/>
      </w:pPr>
      <w:r>
        <w:t>Der CAS ist zwar auch für IHF-Angelegenheiten zuständig (IHF-Statuten Art. 44), aber die Wechselsperre wurde bisher nicht beim CAS angefochten</w:t>
      </w:r>
    </w:p>
    <w:p>
      <w:pPr>
        <w:pStyle w:val="ListBullet"/>
      </w:pPr>
      <w:r>
        <w:t>Die Kanzlei hat einen separaten Antrag beim CAS (Art. R47 CAS Code, eigenständige Klage) vorbereitet, um die IHF-Wechselsperre suspendieren zu lassen bis zur endgültigen CAS-Entscheidung in CAS 2026/A/8821</w:t>
      </w:r>
    </w:p>
    <w:p>
      <w:pPr>
        <w:pStyle w:val="Heading3"/>
      </w:pPr>
      <w:r>
        <w:rPr>
          <w:rFonts w:ascii="Times New Roman" w:hAnsi="Times New Roman"/>
        </w:rPr>
        <w:t>2.3 Rechtliche Grundlage für CAS-Klage gegen IHF</w:t>
      </w:r>
    </w:p>
    <w:p>
      <w:pPr>
        <w:jc w:val="left"/>
      </w:pPr>
      <w:r>
        <w:rPr>
          <w:b/>
        </w:rPr>
        <w:t>Zulässigkeit:</w:t>
      </w:r>
      <w:r>
        <w:t xml:space="preserve"> Die IHF-Statuten sehen CAS als Berufungsinstanz vor. Der CAS ist nach Art. R47 CAS Code auch für Klagen gegen Entscheidungen von Verbänden zuständig, die CAS als Schiedsgericht anerkennen. IHF hat dies in Art. 44 ihrer Statuten getan.</w:t>
      </w:r>
    </w:p>
    <w:p>
      <w:pPr>
        <w:jc w:val="left"/>
      </w:pPr>
      <w:r>
        <w:rPr>
          <w:b/>
        </w:rPr>
        <w:t>Begründetheit:</w:t>
      </w:r>
      <w:r>
        <w:t xml:space="preserve"> Die IHF-Wechselsperre auf Basis einer nicht rechtskräftigen Erstinstanz-Entscheidung verletzt den Grundsatz der Verhältnismäßigkeit. Der CAS hat in vergleichbaren Fällen einstweilige Maßnahmen gewährt (Art. R37 CAS Code).</w:t>
      </w:r>
    </w:p>
    <w:p/>
    <w:p>
      <w:pPr>
        <w:pStyle w:val="Heading2"/>
      </w:pPr>
      <w:r>
        <w:rPr>
          <w:rFonts w:ascii="Times New Roman" w:hAnsi="Times New Roman"/>
        </w:rPr>
        <w:t>3. Zusammenfassende Verfahrensübersicht: Verbandssanktionen</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Sanktion</w:t>
            </w:r>
          </w:p>
        </w:tc>
        <w:tc>
          <w:tcPr>
            <w:tcW w:type="dxa" w:w="1814"/>
          </w:tcPr>
          <w:p>
            <w:r>
              <w:rPr>
                <w:rFonts w:ascii="Times New Roman" w:hAnsi="Times New Roman"/>
                <w:b/>
                <w:sz w:val="20"/>
              </w:rPr>
              <w:t>Behörde</w:t>
            </w:r>
          </w:p>
        </w:tc>
        <w:tc>
          <w:tcPr>
            <w:tcW w:type="dxa" w:w="1814"/>
          </w:tcPr>
          <w:p>
            <w:r>
              <w:rPr>
                <w:rFonts w:ascii="Times New Roman" w:hAnsi="Times New Roman"/>
                <w:b/>
                <w:sz w:val="20"/>
              </w:rPr>
              <w:t>Rechtsgrundlage</w:t>
            </w:r>
          </w:p>
        </w:tc>
        <w:tc>
          <w:tcPr>
            <w:tcW w:type="dxa" w:w="1814"/>
          </w:tcPr>
          <w:p>
            <w:r>
              <w:rPr>
                <w:rFonts w:ascii="Times New Roman" w:hAnsi="Times New Roman"/>
                <w:b/>
                <w:sz w:val="20"/>
              </w:rPr>
              <w:t>Status</w:t>
            </w:r>
          </w:p>
        </w:tc>
        <w:tc>
          <w:tcPr>
            <w:tcW w:type="dxa" w:w="1814"/>
          </w:tcPr>
          <w:p>
            <w:r>
              <w:rPr>
                <w:rFonts w:ascii="Times New Roman" w:hAnsi="Times New Roman"/>
                <w:b/>
                <w:sz w:val="20"/>
              </w:rPr>
              <w:t>Überprüfung</w:t>
            </w:r>
          </w:p>
        </w:tc>
      </w:tr>
      <w:tr>
        <w:tc>
          <w:tcPr>
            <w:tcW w:type="dxa" w:w="1814"/>
          </w:tcPr>
          <w:p>
            <w:r>
              <w:rPr>
                <w:rFonts w:ascii="Times New Roman" w:hAnsi="Times New Roman"/>
                <w:sz w:val="20"/>
              </w:rPr>
              <w:t>Vorläufige Suspendierung</w:t>
            </w:r>
          </w:p>
        </w:tc>
        <w:tc>
          <w:tcPr>
            <w:tcW w:type="dxa" w:w="1814"/>
          </w:tcPr>
          <w:p>
            <w:r>
              <w:rPr>
                <w:rFonts w:ascii="Times New Roman" w:hAnsi="Times New Roman"/>
                <w:sz w:val="20"/>
              </w:rPr>
              <w:t>NADA</w:t>
            </w:r>
          </w:p>
        </w:tc>
        <w:tc>
          <w:tcPr>
            <w:tcW w:type="dxa" w:w="1814"/>
          </w:tcPr>
          <w:p>
            <w:r>
              <w:rPr>
                <w:rFonts w:ascii="Times New Roman" w:hAnsi="Times New Roman"/>
                <w:sz w:val="20"/>
              </w:rPr>
              <w:t>NADC Art. 7.3.2</w:t>
            </w:r>
          </w:p>
        </w:tc>
        <w:tc>
          <w:tcPr>
            <w:tcW w:type="dxa" w:w="1814"/>
          </w:tcPr>
          <w:p>
            <w:r>
              <w:rPr>
                <w:rFonts w:ascii="Times New Roman" w:hAnsi="Times New Roman"/>
                <w:sz w:val="20"/>
              </w:rPr>
              <w:t>Aktiv seit 28.02.2026</w:t>
            </w:r>
          </w:p>
        </w:tc>
        <w:tc>
          <w:tcPr>
            <w:tcW w:type="dxa" w:w="1814"/>
          </w:tcPr>
          <w:p>
            <w:r>
              <w:rPr>
                <w:rFonts w:ascii="Times New Roman" w:hAnsi="Times New Roman"/>
                <w:sz w:val="20"/>
              </w:rPr>
              <w:t>CAS (CAS 2026/A/8821)</w:t>
            </w:r>
          </w:p>
        </w:tc>
      </w:tr>
      <w:tr>
        <w:tc>
          <w:tcPr>
            <w:tcW w:type="dxa" w:w="1814"/>
          </w:tcPr>
          <w:p>
            <w:r>
              <w:rPr>
                <w:rFonts w:ascii="Times New Roman" w:hAnsi="Times New Roman"/>
                <w:sz w:val="20"/>
              </w:rPr>
              <w:t>DHB-Bundeskaderausschluss</w:t>
            </w:r>
          </w:p>
        </w:tc>
        <w:tc>
          <w:tcPr>
            <w:tcW w:type="dxa" w:w="1814"/>
          </w:tcPr>
          <w:p>
            <w:r>
              <w:rPr>
                <w:rFonts w:ascii="Times New Roman" w:hAnsi="Times New Roman"/>
                <w:sz w:val="20"/>
              </w:rPr>
              <w:t>DHB</w:t>
            </w:r>
          </w:p>
        </w:tc>
        <w:tc>
          <w:tcPr>
            <w:tcW w:type="dxa" w:w="1814"/>
          </w:tcPr>
          <w:p>
            <w:r>
              <w:rPr>
                <w:rFonts w:ascii="Times New Roman" w:hAnsi="Times New Roman"/>
                <w:sz w:val="20"/>
              </w:rPr>
              <w:t>DHB-Anti-Doping-Richtl. § 8</w:t>
            </w:r>
          </w:p>
        </w:tc>
        <w:tc>
          <w:tcPr>
            <w:tcW w:type="dxa" w:w="1814"/>
          </w:tcPr>
          <w:p>
            <w:r>
              <w:rPr>
                <w:rFonts w:ascii="Times New Roman" w:hAnsi="Times New Roman"/>
                <w:sz w:val="20"/>
              </w:rPr>
              <w:t>Aktiv</w:t>
            </w:r>
          </w:p>
        </w:tc>
        <w:tc>
          <w:tcPr>
            <w:tcW w:type="dxa" w:w="1814"/>
          </w:tcPr>
          <w:p>
            <w:r>
              <w:rPr>
                <w:rFonts w:ascii="Times New Roman" w:hAnsi="Times New Roman"/>
                <w:sz w:val="20"/>
              </w:rPr>
              <w:t>LG-Klage in Vorb.</w:t>
            </w:r>
          </w:p>
        </w:tc>
      </w:tr>
      <w:tr>
        <w:tc>
          <w:tcPr>
            <w:tcW w:type="dxa" w:w="1814"/>
          </w:tcPr>
          <w:p>
            <w:r>
              <w:rPr>
                <w:rFonts w:ascii="Times New Roman" w:hAnsi="Times New Roman"/>
                <w:sz w:val="20"/>
              </w:rPr>
              <w:t>EHF-Transfersperre</w:t>
            </w:r>
          </w:p>
        </w:tc>
        <w:tc>
          <w:tcPr>
            <w:tcW w:type="dxa" w:w="1814"/>
          </w:tcPr>
          <w:p>
            <w:r>
              <w:rPr>
                <w:rFonts w:ascii="Times New Roman" w:hAnsi="Times New Roman"/>
                <w:sz w:val="20"/>
              </w:rPr>
              <w:t>EHF</w:t>
            </w:r>
          </w:p>
        </w:tc>
        <w:tc>
          <w:tcPr>
            <w:tcW w:type="dxa" w:w="1814"/>
          </w:tcPr>
          <w:p>
            <w:r>
              <w:rPr>
                <w:rFonts w:ascii="Times New Roman" w:hAnsi="Times New Roman"/>
                <w:sz w:val="20"/>
              </w:rPr>
              <w:t>EHF-Transferreg. Art. 15.3</w:t>
            </w:r>
          </w:p>
        </w:tc>
        <w:tc>
          <w:tcPr>
            <w:tcW w:type="dxa" w:w="1814"/>
          </w:tcPr>
          <w:p>
            <w:r>
              <w:rPr>
                <w:rFonts w:ascii="Times New Roman" w:hAnsi="Times New Roman"/>
                <w:sz w:val="20"/>
              </w:rPr>
              <w:t>Aktiv</w:t>
            </w:r>
          </w:p>
        </w:tc>
        <w:tc>
          <w:tcPr>
            <w:tcW w:type="dxa" w:w="1814"/>
          </w:tcPr>
          <w:p>
            <w:r>
              <w:rPr>
                <w:rFonts w:ascii="Times New Roman" w:hAnsi="Times New Roman"/>
                <w:sz w:val="20"/>
              </w:rPr>
              <w:t>CAS (Separat-Antrag)</w:t>
            </w:r>
          </w:p>
        </w:tc>
      </w:tr>
      <w:tr>
        <w:tc>
          <w:tcPr>
            <w:tcW w:type="dxa" w:w="1814"/>
          </w:tcPr>
          <w:p>
            <w:r>
              <w:rPr>
                <w:rFonts w:ascii="Times New Roman" w:hAnsi="Times New Roman"/>
                <w:sz w:val="20"/>
              </w:rPr>
              <w:t>IHF-Wechselsperre (24 M.)</w:t>
            </w:r>
          </w:p>
        </w:tc>
        <w:tc>
          <w:tcPr>
            <w:tcW w:type="dxa" w:w="1814"/>
          </w:tcPr>
          <w:p>
            <w:r>
              <w:rPr>
                <w:rFonts w:ascii="Times New Roman" w:hAnsi="Times New Roman"/>
                <w:sz w:val="20"/>
              </w:rPr>
              <w:t>IHF</w:t>
            </w:r>
          </w:p>
        </w:tc>
        <w:tc>
          <w:tcPr>
            <w:tcW w:type="dxa" w:w="1814"/>
          </w:tcPr>
          <w:p>
            <w:r>
              <w:rPr>
                <w:rFonts w:ascii="Times New Roman" w:hAnsi="Times New Roman"/>
                <w:sz w:val="20"/>
              </w:rPr>
              <w:t>IHF-Transferreg. Art. 12</w:t>
            </w:r>
          </w:p>
        </w:tc>
        <w:tc>
          <w:tcPr>
            <w:tcW w:type="dxa" w:w="1814"/>
          </w:tcPr>
          <w:p>
            <w:r>
              <w:rPr>
                <w:rFonts w:ascii="Times New Roman" w:hAnsi="Times New Roman"/>
                <w:sz w:val="20"/>
              </w:rPr>
              <w:t>Aktiv seit 30.06.2026</w:t>
            </w:r>
          </w:p>
        </w:tc>
        <w:tc>
          <w:tcPr>
            <w:tcW w:type="dxa" w:w="1814"/>
          </w:tcPr>
          <w:p>
            <w:r>
              <w:rPr>
                <w:rFonts w:ascii="Times New Roman" w:hAnsi="Times New Roman"/>
                <w:sz w:val="20"/>
              </w:rPr>
              <w:t>CAS (Separat-Antrag)</w:t>
            </w:r>
          </w:p>
        </w:tc>
      </w:tr>
      <w:tr>
        <w:tc>
          <w:tcPr>
            <w:tcW w:type="dxa" w:w="1814"/>
          </w:tcPr>
          <w:p>
            <w:r>
              <w:rPr>
                <w:rFonts w:ascii="Times New Roman" w:hAnsi="Times New Roman"/>
                <w:sz w:val="20"/>
              </w:rPr>
              <w:t>NADA-Sperre (2 Jahre)</w:t>
            </w:r>
          </w:p>
        </w:tc>
        <w:tc>
          <w:tcPr>
            <w:tcW w:type="dxa" w:w="1814"/>
          </w:tcPr>
          <w:p>
            <w:r>
              <w:rPr>
                <w:rFonts w:ascii="Times New Roman" w:hAnsi="Times New Roman"/>
                <w:sz w:val="20"/>
              </w:rPr>
              <w:t>DSGSp</w:t>
            </w:r>
          </w:p>
        </w:tc>
        <w:tc>
          <w:tcPr>
            <w:tcW w:type="dxa" w:w="1814"/>
          </w:tcPr>
          <w:p>
            <w:r>
              <w:rPr>
                <w:rFonts w:ascii="Times New Roman" w:hAnsi="Times New Roman"/>
                <w:sz w:val="20"/>
              </w:rPr>
              <w:t>NADC Art. 10.2.2</w:t>
            </w:r>
          </w:p>
        </w:tc>
        <w:tc>
          <w:tcPr>
            <w:tcW w:type="dxa" w:w="1814"/>
          </w:tcPr>
          <w:p>
            <w:r>
              <w:rPr>
                <w:rFonts w:ascii="Times New Roman" w:hAnsi="Times New Roman"/>
                <w:sz w:val="20"/>
              </w:rPr>
              <w:t>Nicht rechtskräftig</w:t>
            </w:r>
          </w:p>
        </w:tc>
        <w:tc>
          <w:tcPr>
            <w:tcW w:type="dxa" w:w="1814"/>
          </w:tcPr>
          <w:p>
            <w:r>
              <w:rPr>
                <w:rFonts w:ascii="Times New Roman" w:hAnsi="Times New Roman"/>
                <w:sz w:val="20"/>
              </w:rPr>
              <w:t>CAS 2026/A/8821</w:t>
            </w:r>
          </w:p>
        </w:tc>
      </w:tr>
    </w:tbl>
    <w:p/>
    <w:p>
      <w:pPr>
        <w:pStyle w:val="Heading2"/>
      </w:pPr>
      <w:r>
        <w:rPr>
          <w:rFonts w:ascii="Times New Roman" w:hAnsi="Times New Roman"/>
        </w:rPr>
        <w:t>4. Strategische Bewertung</w:t>
      </w:r>
    </w:p>
    <w:p>
      <w:pPr>
        <w:jc w:val="left"/>
      </w:pPr>
      <w:r>
        <w:t>Die Kumulierung von NADA-Suspendierung, DHB-Kaderausschluss, EHF-Sperre und IHF-Wechselsperre bedeutet: Selbst wenn der CAS die Sperre auf 8 Monate reduziert, bliebe die IHF-Wechselsperre für 24 Monate bestehen, sofern keine gesonderte CAS-Entscheidung erwirkt wird. Dies zeigt, wie wichtig es ist, alle Verbandsinstanzen parallel zu bespiegeln und frühzeitig CAS-Verfahren zu eröffnen.</w:t>
      </w:r>
    </w:p>
    <w:p>
      <w:pPr>
        <w:jc w:val="left"/>
      </w:pPr>
      <w:r>
        <w:t>Priorität: CAS-Antrag auf einstweilige Aufhebung der IHF-Wechselsperre parallel zum Hauptverfahren CAS 2026/A/8821 (Art. R37 CAS Code, Eilantrag).</w:t>
      </w:r>
    </w:p>
    <w:p/>
    <w:p>
      <w:pPr>
        <w:jc w:val="left"/>
      </w:pPr>
      <w:r>
        <w:rPr>
          <w:i/>
        </w:rPr>
        <w:t>Quellen: DHB-Satzung § 14, 21; DHB-Anti-Doping-Richtlinien 2023 § 8; EHF-Transferreglement 2024 Art. 15.3; IHF Player Transfer Regulations 2023 Art. 12; IHF-Statuten Art. 44; Art. R37, R47 CAS Code; NADC 2021 Art. 7.3.2; BGH, Urt. 28.11.1994, II ZR 238/93 (Vereinsrecht); EGMR Mutu/Pechstein, Urt. 02.10.2018; Art. 6 EMRK.</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