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SPA Draft 1: Issue-List und offene Punkte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SPA-Version:</w:t>
      </w:r>
      <w:r>
        <w:t xml:space="preserve"> Draft 1 (intern, Verkaeuferseite)</w:t>
      </w:r>
    </w:p>
    <w:p>
      <w:pPr>
        <w:jc w:val="left"/>
      </w:pPr>
      <w:r>
        <w:rPr>
          <w:b/>
        </w:rPr>
        <w:t>Datum SPA Draft 1:</w:t>
      </w:r>
      <w:r>
        <w:t xml:space="preserve"> 18. April 2026</w:t>
      </w:r>
    </w:p>
    <w:p>
      <w:pPr>
        <w:jc w:val="left"/>
      </w:pPr>
      <w:r>
        <w:rPr>
          <w:b/>
        </w:rPr>
        <w:t>Datum Issue-List:</w:t>
      </w:r>
      <w:r>
        <w:t xml:space="preserve"> 22. April 2026</w:t>
      </w:r>
    </w:p>
    <w:p>
      <w:pPr>
        <w:jc w:val="left"/>
      </w:pPr>
      <w:r>
        <w:rPr>
          <w:b/>
        </w:rPr>
        <w:t>Bearbeiter:</w:t>
      </w:r>
      <w:r>
        <w:t xml:space="preserve"> Dr. (iur.) Mira Pohlmann / RA Dr. Henrik Roosendaal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>SPA Draft 1 wurde durch Roosendaal Birkenhainer Partners mbB erstellt und am 18.04.2026 an Gegenseite (Schäfer Schoeneberg Stoll mbB) übermittelt. Diese Issue-List enthält die intern identifizierten offenen Punkte sowie erste Kommentare aus dem Due-Diligence-Prozess, die noch in den SPA integriert werden müssen.</w:t>
      </w:r>
    </w:p>
    <w:p/>
    <w:p>
      <w:pPr>
        <w:pStyle w:val="Heading2"/>
      </w:pPr>
      <w:r>
        <w:rPr>
          <w:rFonts w:ascii="Times New Roman" w:hAnsi="Times New Roman"/>
        </w:rPr>
        <w:t>Struktur SPA Draft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Artikel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Titel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Definitionen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Weitgehend fertig; 12 Definitionen zur Klärung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Kaufgegenstand und Kaufpreis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Locked-Box-Mechanismus eingebaut; Earn-Out-Klausel noch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Signing und Closing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Closing Conditions vorbehaltlich BKartA-Freigabe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Representations and Warranties Verkäufer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47 Warranties; Knowledge Qualifier noch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Representations and Warranties 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 Warranties; Standard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Indemnification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Cap und Basket: offene Eintragung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MAC-Klausel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Entwurf vorhanden; Carve-outs unvollständig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Earn-Out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EBITDA-Definition fehlt noch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Covenants (Pre-Closing)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Anlage 1 bis 9 (teilweise noch leer)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Issue-Liste (intern)</w:t>
      </w:r>
    </w:p>
    <w:p>
      <w:pPr>
        <w:pStyle w:val="Heading3"/>
      </w:pPr>
      <w:r>
        <w:rPr>
          <w:rFonts w:ascii="Times New Roman" w:hAnsi="Times New Roman"/>
        </w:rPr>
        <w:t>Issue 1 — Definitionen Art. 1</w:t>
      </w:r>
    </w:p>
    <w:p>
      <w:pPr>
        <w:jc w:val="left"/>
      </w:pPr>
      <w:r>
        <w:rPr>
          <w:b/>
        </w:rPr>
        <w:t>Offener Punkt:</w:t>
      </w:r>
      <w:r>
        <w:t xml:space="preserve"> "Material Adverse Change" noch nicht präzise definiert. Bisherige Fassung: "any event or circumstance that has or could reasonably be expected to have a material adverse effect on the business, financial condition or results of operations of the Target Company."</w:t>
      </w:r>
    </w:p>
    <w:p>
      <w:pPr>
        <w:jc w:val="left"/>
      </w:pPr>
      <w:r>
        <w:rPr>
          <w:b/>
        </w:rPr>
        <w:t>Problem:</w:t>
      </w:r>
      <w:r>
        <w:t xml:space="preserve"> Zu weit; erfasst auch allgemeine Energiemarktrisiken, für die Verkäufer keine Haftung übernehmen will.</w:t>
      </w:r>
    </w:p>
    <w:p>
      <w:pPr>
        <w:jc w:val="left"/>
      </w:pPr>
      <w:r>
        <w:rPr>
          <w:b/>
        </w:rPr>
        <w:t>Handlungsbedarf:</w:t>
      </w:r>
      <w:r>
        <w:t xml:space="preserve"> Carve-outs formulieren (allgemeine Marktbewegungen, Energiepreise, regulatorische Änderungen EEG). Siehe Aktenstück 06.</w:t>
      </w:r>
    </w:p>
    <w:p>
      <w:pPr>
        <w:pStyle w:val="Heading3"/>
      </w:pPr>
      <w:r>
        <w:rPr>
          <w:rFonts w:ascii="Times New Roman" w:hAnsi="Times New Roman"/>
        </w:rPr>
        <w:t>Issue 2 — Earn-Out (Art. 8)</w:t>
      </w:r>
    </w:p>
    <w:p>
      <w:pPr>
        <w:jc w:val="left"/>
      </w:pPr>
      <w:r>
        <w:rPr>
          <w:b/>
        </w:rPr>
        <w:t>Offener Punkt:</w:t>
      </w:r>
      <w:r>
        <w:t xml:space="preserve"> EBITDA-Definition fehlt vollständig; die Klammerstelle "[●]" ist nicht befüllt. Käufer wird eigene Definition vorschlagen.</w:t>
      </w:r>
    </w:p>
    <w:p>
      <w:pPr>
        <w:jc w:val="left"/>
      </w:pPr>
      <w:r>
        <w:rPr>
          <w:b/>
        </w:rPr>
        <w:t>Problem:</w:t>
      </w:r>
      <w:r>
        <w:t xml:space="preserve"> Divergenz zu erwarten bzgl. Bereinigung ausserordentlicher Aufwendungen, Behandlung Erbbaurechtsrente, Abschreibungen auf Solarmodule.</w:t>
      </w:r>
    </w:p>
    <w:p>
      <w:pPr>
        <w:jc w:val="left"/>
      </w:pPr>
      <w:r>
        <w:rPr>
          <w:b/>
        </w:rPr>
        <w:t>Handlungsbedarf:</w:t>
      </w:r>
      <w:r>
        <w:t xml:space="preserve"> Wirtschaftsprüfer einbinden für Formulierungsvorschlag. Streitbeilegungsmechanismus (Baseball-Arbitrage oder Gutachterverfahren) aufnehmen. Siehe Aktenstück 07.</w:t>
      </w:r>
    </w:p>
    <w:p>
      <w:pPr>
        <w:pStyle w:val="Heading3"/>
      </w:pPr>
      <w:r>
        <w:rPr>
          <w:rFonts w:ascii="Times New Roman" w:hAnsi="Times New Roman"/>
        </w:rPr>
        <w:t>Issue 3 — Knowledge Qualifier (Art. 4)</w:t>
      </w:r>
    </w:p>
    <w:p>
      <w:pPr>
        <w:jc w:val="left"/>
      </w:pPr>
      <w:r>
        <w:rPr>
          <w:b/>
        </w:rPr>
        <w:t>Offener Punkt:</w:t>
      </w:r>
      <w:r>
        <w:t xml:space="preserve"> Warranties 4.1 bis 4.47 enthalten keinen einheitlichen Knowledge Qualifier. Gegenseite wird voraussichtlich "actual knowledge" mit engen Personen anstreben (nur CEO und CFO).</w:t>
      </w:r>
    </w:p>
    <w:p>
      <w:pPr>
        <w:jc w:val="left"/>
      </w:pPr>
      <w:r>
        <w:rPr>
          <w:b/>
        </w:rPr>
        <w:t>Problem:</w:t>
      </w:r>
      <w:r>
        <w:t xml:space="preserve"> Für Verkäufer praeferabel: "best knowledge" mit erweitertem Personenkreis (CEO, CFO, GC, Bereichsleitung Technik). Konstruktive Kenntnis vs. tatsächliche Kenntnis — erheblicher Haftungsunterschied.</w:t>
      </w:r>
    </w:p>
    <w:p>
      <w:pPr>
        <w:jc w:val="left"/>
      </w:pPr>
      <w:r>
        <w:rPr>
          <w:b/>
        </w:rPr>
        <w:t>Handlungsbedarf:</w:t>
      </w:r>
      <w:r>
        <w:t xml:space="preserve"> Einheitliche Knowledge-Qualifier-Definition (Defined Term "Seller's Knowledge") einführen. Personenkreis festlegen. Materiality-Auslesen-Klausel erwägen. Siehe Aktenstück 05.</w:t>
      </w:r>
    </w:p>
    <w:p>
      <w:pPr>
        <w:pStyle w:val="Heading3"/>
      </w:pPr>
      <w:r>
        <w:rPr>
          <w:rFonts w:ascii="Times New Roman" w:hAnsi="Times New Roman"/>
        </w:rPr>
        <w:t>Issue 4 — Indemnification Cap/Basket (Art. 6)</w:t>
      </w:r>
    </w:p>
    <w:p>
      <w:pPr>
        <w:jc w:val="left"/>
      </w:pPr>
      <w:r>
        <w:rPr>
          <w:b/>
        </w:rPr>
        <w:t>Offener Punkt:</w:t>
      </w:r>
      <w:r>
        <w:t xml:space="preserve"> Cap und Deductible Basket sind als offene Eintragungen "[●]% des Kaufpreises" eingetragen.</w:t>
      </w:r>
    </w:p>
    <w:p>
      <w:pPr>
        <w:jc w:val="left"/>
      </w:pPr>
      <w:r>
        <w:rPr>
          <w:b/>
        </w:rPr>
        <w:t>Problem:</w:t>
      </w:r>
      <w:r>
        <w:t xml:space="preserve"> Marktstandard variiert je nach Transaktionsgroesse und Risikoprofil. Bei 38 Mio. EUR EV: Cap typischerweise 15-25% (EUR 5,7 bis 9,5 Mio.), de minimis EUR 50.000, Basket EUR 500.000 (Deductible, kein Tipping Basket).</w:t>
      </w:r>
    </w:p>
    <w:p>
      <w:pPr>
        <w:jc w:val="left"/>
      </w:pPr>
      <w:r>
        <w:rPr>
          <w:b/>
        </w:rPr>
        <w:t>Handlungsbedarf:</w:t>
      </w:r>
      <w:r>
        <w:t xml:space="preserve"> Interne Abstimmung mit Mandantin zu Risikobereitschaft; Versicherungscheck (W&amp;I Insurance). Siehe Aktenstück 08.</w:t>
      </w:r>
    </w:p>
    <w:p>
      <w:pPr>
        <w:pStyle w:val="Heading3"/>
      </w:pPr>
      <w:r>
        <w:rPr>
          <w:rFonts w:ascii="Times New Roman" w:hAnsi="Times New Roman"/>
        </w:rPr>
        <w:t>Issue 5 — GrESt Erbbaurecht (Art. 2 / Anlage)</w:t>
      </w:r>
    </w:p>
    <w:p>
      <w:pPr>
        <w:jc w:val="left"/>
      </w:pPr>
      <w:r>
        <w:rPr>
          <w:b/>
        </w:rPr>
        <w:t>Offener Punkt:</w:t>
      </w:r>
      <w:r>
        <w:t xml:space="preserve"> Steuerliche Implikation ungeklärt. Paragraf 1 Absatz 3 GrEStG könnte bei 100%-Share-Deal der GmbH, die ein Erbbaurecht hält, eine Grunderwerbsteuer auslösen (steuerlich fingierte Grundstücksübertragung).</w:t>
      </w:r>
    </w:p>
    <w:p>
      <w:pPr>
        <w:jc w:val="left"/>
      </w:pPr>
      <w:r>
        <w:rPr>
          <w:b/>
        </w:rPr>
        <w:t>Problem:</w:t>
      </w:r>
      <w:r>
        <w:t xml:space="preserve"> Steuerbelastung potenziell ca. 6% von 18 ha x Grundstückswert = erheblicher Betrag. Pivot zu Asset-Deal könnte GrESt vermeiden, löst aber andere Probleme aus (HGB § 25, Genehmigungen).</w:t>
      </w:r>
    </w:p>
    <w:p>
      <w:pPr>
        <w:jc w:val="left"/>
      </w:pPr>
      <w:r>
        <w:rPr>
          <w:b/>
        </w:rPr>
        <w:t>Handlungsbedarf:</w:t>
      </w:r>
      <w:r>
        <w:t xml:space="preserve"> Verbindliche Auskunft FA Berlin-Mitte beantragen; Asset-Deal-Pivot-Szenario parallel entwickeln. Siehe Aktenstück 09.</w:t>
      </w:r>
    </w:p>
    <w:p>
      <w:pPr>
        <w:pStyle w:val="Heading3"/>
      </w:pPr>
      <w:r>
        <w:rPr>
          <w:rFonts w:ascii="Times New Roman" w:hAnsi="Times New Roman"/>
        </w:rPr>
        <w:t>Issue 6 — Anlage 7 (Engineering-Servicevertrag)</w:t>
      </w:r>
    </w:p>
    <w:p>
      <w:pPr>
        <w:jc w:val="left"/>
      </w:pPr>
      <w:r>
        <w:rPr>
          <w:b/>
        </w:rPr>
        <w:t>Offener Punkt:</w:t>
      </w:r>
      <w:r>
        <w:t xml:space="preserve"> Engineering-Servicevertrag SolarService GmbH noch nicht auf AGB-Konformitaet geprüft (§ 305 ff. BGB).</w:t>
      </w:r>
    </w:p>
    <w:p>
      <w:pPr>
        <w:jc w:val="left"/>
      </w:pPr>
      <w:r>
        <w:rPr>
          <w:b/>
        </w:rPr>
        <w:t>Problem:</w:t>
      </w:r>
      <w:r>
        <w:t xml:space="preserve"> Vertragspartei SolarService GmbH tritt als Verwender auf; mehrere Haftungsbeschraenkungsklauseln potenziell unwirksam nach § 307 BGB.</w:t>
      </w:r>
    </w:p>
    <w:p>
      <w:pPr>
        <w:jc w:val="left"/>
      </w:pPr>
      <w:r>
        <w:rPr>
          <w:b/>
        </w:rPr>
        <w:t>Handlungsbedarf:</w:t>
      </w:r>
      <w:r>
        <w:t xml:space="preserve"> AGB-Pruefung beauftragen (Aktenstück 11); Ergebnis als Disclosure aufnehmen.</w:t>
      </w:r>
    </w:p>
    <w:p/>
    <w:p>
      <w:pPr>
        <w:pStyle w:val="Heading2"/>
      </w:pPr>
      <w:r>
        <w:rPr>
          <w:rFonts w:ascii="Times New Roman" w:hAnsi="Times New Roman"/>
        </w:rPr>
        <w:t>Zeitplan SPA-Prozess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Draft 1 an Gegenseite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18.04.2026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 Markup Draft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Mai/Juni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Draft 2 (nach Markup)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Vsl. Juli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Draft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August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SPA Final / Draft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Signing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September/Oktober 2026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