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— SPA Draft 2: Redline-Zusammenfassung</w:t>
      </w:r>
    </w:p>
    <w:p>
      <w:pPr>
        <w:jc w:val="left"/>
      </w:pPr>
      <w:r>
        <w:rPr>
          <w:b/>
        </w:rPr>
        <w:t>AZ:</w:t>
      </w:r>
      <w:r>
        <w:t xml:space="preserve"> MR-2026-DR-0717</w:t>
      </w:r>
    </w:p>
    <w:p>
      <w:pPr>
        <w:jc w:val="left"/>
      </w:pPr>
      <w:r>
        <w:rPr>
          <w:b/>
        </w:rPr>
        <w:t>SPA-Version:</w:t>
      </w:r>
      <w:r>
        <w:t xml:space="preserve"> Draft 2 (nach Markup Gegenseite)</w:t>
      </w:r>
    </w:p>
    <w:p>
      <w:pPr>
        <w:jc w:val="left"/>
      </w:pPr>
      <w:r>
        <w:rPr>
          <w:b/>
        </w:rPr>
        <w:t>Datum Markup Gegenseite:</w:t>
      </w:r>
      <w:r>
        <w:t xml:space="preserve"> 14. Juli 2026</w:t>
      </w:r>
    </w:p>
    <w:p>
      <w:pPr>
        <w:jc w:val="left"/>
      </w:pPr>
      <w:r>
        <w:rPr>
          <w:b/>
        </w:rPr>
        <w:t>Datum dieser Zusammenfassung:</w:t>
      </w:r>
      <w:r>
        <w:t xml:space="preserve"> 18. Juli 2026</w:t>
      </w:r>
    </w:p>
    <w:p>
      <w:pPr>
        <w:jc w:val="left"/>
      </w:pPr>
      <w:r>
        <w:rPr>
          <w:b/>
        </w:rPr>
        <w:t>Bearbeiter:</w:t>
      </w:r>
      <w:r>
        <w:t xml:space="preserve"> Senior Associate Dr. (iur.) Mira Pohlmann</w:t>
      </w:r>
    </w:p>
    <w:p/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>Am 14.07.2026 hat Schäfer Schoeneberg Stoll mbB das Markup zu SPA Draft 1 übermittelt (Anlage: redline-spa-v1-kaeufer-markup.docx). Das Markup umfasst 218 Kommentare und 94 Textänderungen. Diese Zusammenfassung kategorisiert die wesentlichen Änderungen nach Priorität.</w:t>
      </w:r>
    </w:p>
    <w:p/>
    <w:p>
      <w:pPr>
        <w:pStyle w:val="Heading2"/>
      </w:pPr>
      <w:r>
        <w:rPr>
          <w:rFonts w:ascii="Times New Roman" w:hAnsi="Times New Roman"/>
        </w:rPr>
        <w:t>Kritische Änderungen (RED — Eskalation zu Mandantin erforderlich)</w:t>
      </w:r>
    </w:p>
    <w:p>
      <w:pPr>
        <w:pStyle w:val="Heading3"/>
      </w:pPr>
      <w:r>
        <w:rPr>
          <w:rFonts w:ascii="Times New Roman" w:hAnsi="Times New Roman"/>
        </w:rPr>
        <w:t>RED-1: Warranties-Katalog Art. 4 — Streichung 19 Warranties</w:t>
      </w:r>
    </w:p>
    <w:p>
      <w:pPr>
        <w:jc w:val="left"/>
      </w:pPr>
      <w:r>
        <w:t>Gegenseite streicht 19 von 47 Warranties vollständig oder reduziert sie auf weiche "to the best of Seller's knowledge"-Formulierungen. Betroffen u.a.:</w:t>
      </w:r>
    </w:p>
    <w:p>
      <w:pPr>
        <w:pStyle w:val="ListBullet"/>
      </w:pPr>
      <w:r>
        <w:t>W. 4.12 (Umweltverpflichtungen Erbbaurechtsgrundstück)</w:t>
      </w:r>
    </w:p>
    <w:p>
      <w:pPr>
        <w:pStyle w:val="ListBullet"/>
      </w:pPr>
      <w:r>
        <w:t>W. 4.23 (Keine ausstehenden Behördenbescheide)</w:t>
      </w:r>
    </w:p>
    <w:p>
      <w:pPr>
        <w:pStyle w:val="ListBullet"/>
      </w:pPr>
      <w:r>
        <w:t>W. 4.31 bis 4.35 (Steuerliche Warranties zu Gewerbesteuer, Körperschaftsteuer, USt)</w:t>
      </w:r>
    </w:p>
    <w:p>
      <w:pPr>
        <w:pStyle w:val="ListBullet"/>
      </w:pPr>
      <w:r>
        <w:t>W. 4.41 (Vollständigkeit der Disclosure Schedules)</w:t>
      </w:r>
    </w:p>
    <w:p>
      <w:pPr>
        <w:jc w:val="left"/>
      </w:pPr>
      <w:r>
        <w:rPr>
          <w:b/>
        </w:rPr>
        <w:t>Antwort Verkaeuferseite:</w:t>
      </w:r>
      <w:r>
        <w:t xml:space="preserve"> Rückführung auf mindestens 38 Warranties; W. 4.12, 4.23, 4.41 sind nicht verhandelbar.</w:t>
      </w:r>
    </w:p>
    <w:p>
      <w:pPr>
        <w:pStyle w:val="Heading3"/>
      </w:pPr>
      <w:r>
        <w:rPr>
          <w:rFonts w:ascii="Times New Roman" w:hAnsi="Times New Roman"/>
        </w:rPr>
        <w:t>RED-2: Indemnification — Gegenseite fordert unbegrenzten Cap für Steuerforderungen</w:t>
      </w:r>
    </w:p>
    <w:p>
      <w:pPr>
        <w:jc w:val="left"/>
      </w:pPr>
      <w:r>
        <w:t>Gegenseite: Steuerindemnities sollen unbeschränkt haften (kein Cap). Verkäufer: Max. 100% Equity Value als absoluter Cap auch für Tax Indemnities.</w:t>
      </w:r>
    </w:p>
    <w:p>
      <w:pPr>
        <w:jc w:val="left"/>
      </w:pPr>
      <w:r>
        <w:rPr>
          <w:b/>
        </w:rPr>
        <w:t>Antwort Verkaeuferseite:</w:t>
      </w:r>
      <w:r>
        <w:t xml:space="preserve"> Kein unbegrenzter Tax Cap; jedoch separater Tax Cap bis EUR 10 Mio. akzeptabel als Kompromiss.</w:t>
      </w:r>
    </w:p>
    <w:p>
      <w:pPr>
        <w:pStyle w:val="Heading3"/>
      </w:pPr>
      <w:r>
        <w:rPr>
          <w:rFonts w:ascii="Times New Roman" w:hAnsi="Times New Roman"/>
        </w:rPr>
        <w:t>RED-3: Earn-Out EBITDA — Gegenseite führt "Adjusted EBITDA" ein</w:t>
      </w:r>
    </w:p>
    <w:p>
      <w:pPr>
        <w:jc w:val="left"/>
      </w:pPr>
      <w:r>
        <w:t>Käufer definiert Adjusted EBITDA nach eigenem Ermessen (Kommentar 87 im Markup); Bereinigungen einseitig zu Gunsten Käufer formuliert.</w:t>
      </w:r>
    </w:p>
    <w:p>
      <w:pPr>
        <w:jc w:val="left"/>
      </w:pPr>
      <w:r>
        <w:rPr>
          <w:b/>
        </w:rPr>
        <w:t>Antwort Verkaeuferseite:</w:t>
      </w:r>
      <w:r>
        <w:t xml:space="preserve"> Mutuell vereinbarte Adjustments-Liste; unabhängiger Wirtschaftsprüfer bei Streit (Gutachterverfahren, nicht Baseball-Arbitrage).</w:t>
      </w:r>
    </w:p>
    <w:p/>
    <w:p>
      <w:pPr>
        <w:pStyle w:val="Heading2"/>
      </w:pPr>
      <w:r>
        <w:rPr>
          <w:rFonts w:ascii="Times New Roman" w:hAnsi="Times New Roman"/>
        </w:rPr>
        <w:t>Wesentliche Änderungen (YELLOW — Verhandlungsposition festlegen)</w:t>
      </w:r>
    </w:p>
    <w:p>
      <w:pPr>
        <w:pStyle w:val="Heading3"/>
      </w:pPr>
      <w:r>
        <w:rPr>
          <w:rFonts w:ascii="Times New Roman" w:hAnsi="Times New Roman"/>
        </w:rPr>
        <w:t>YELLOW-1: MAC-Klausel — Gegenseite streicht Energiemarkt-Carve-out</w:t>
      </w:r>
    </w:p>
    <w:p>
      <w:pPr>
        <w:jc w:val="left"/>
      </w:pPr>
      <w:r>
        <w:t>Gegenseite hat Carve-out "general changes in the energy market or energy prices" gestrichen. Verkäufer muss bestehen auf:</w:t>
      </w:r>
    </w:p>
    <w:p>
      <w:pPr>
        <w:pStyle w:val="ListBullet"/>
      </w:pPr>
      <w:r>
        <w:t>Carve-out allgemeine Marktveränderungen (Energiepreise)</w:t>
      </w:r>
    </w:p>
    <w:p>
      <w:pPr>
        <w:pStyle w:val="ListBullet"/>
      </w:pPr>
      <w:r>
        <w:t>Carve-out gesetzliche/regulatorische Änderungen (EEG-Anpassungen)</w:t>
      </w:r>
    </w:p>
    <w:p>
      <w:pPr>
        <w:pStyle w:val="ListBullet"/>
      </w:pPr>
      <w:r>
        <w:t>Carve-out Pandemien / Force Majeure</w:t>
      </w:r>
    </w:p>
    <w:p>
      <w:pPr>
        <w:pStyle w:val="Heading3"/>
      </w:pPr>
      <w:r>
        <w:rPr>
          <w:rFonts w:ascii="Times New Roman" w:hAnsi="Times New Roman"/>
        </w:rPr>
        <w:t>YELLOW-2: Basket — Gegenseite will Tipping Basket statt Deductible Basket</w:t>
      </w:r>
    </w:p>
    <w:p>
      <w:pPr>
        <w:jc w:val="left"/>
      </w:pPr>
      <w:r>
        <w:t>Käufer möchte Tipping Basket (sobald Schwelle überschritten, haftet Verkäufer ab erstem Euro). Verkäufer präferiert Deductible / Excess-Only-Basket.</w:t>
      </w:r>
    </w:p>
    <w:p>
      <w:pPr>
        <w:jc w:val="left"/>
      </w:pPr>
      <w:r>
        <w:rPr>
          <w:b/>
        </w:rPr>
        <w:t>Kompromissformel:</w:t>
      </w:r>
      <w:r>
        <w:t xml:space="preserve"> Deductible EUR 400.000; Gesamtansprüche nur über Deductible hinaus.</w:t>
      </w:r>
    </w:p>
    <w:p>
      <w:pPr>
        <w:pStyle w:val="Heading3"/>
      </w:pPr>
      <w:r>
        <w:rPr>
          <w:rFonts w:ascii="Times New Roman" w:hAnsi="Times New Roman"/>
        </w:rPr>
        <w:t>YELLOW-3: Survival Period — Gegenseite fordert 5 Jahre</w:t>
      </w:r>
    </w:p>
    <w:p>
      <w:pPr>
        <w:jc w:val="left"/>
      </w:pPr>
      <w:r>
        <w:t>Gegenseite: Warranties sollen 5 Jahre ab Closing überleben (vs. 2 Jahre Verkaeuferposition; Steuerwarranties 7 Jahre).</w:t>
      </w:r>
    </w:p>
    <w:p>
      <w:pPr>
        <w:jc w:val="left"/>
      </w:pPr>
      <w:r>
        <w:rPr>
          <w:b/>
        </w:rPr>
        <w:t>Kompromissformel:</w:t>
      </w:r>
      <w:r>
        <w:t xml:space="preserve"> Allgemeine Warranties 3 Jahre; Tax Warranties 7 Jahre (entspricht Verjährung steuerlicher Ansprüche).</w:t>
      </w:r>
    </w:p>
    <w:p/>
    <w:p>
      <w:pPr>
        <w:pStyle w:val="Heading2"/>
      </w:pPr>
      <w:r>
        <w:rPr>
          <w:rFonts w:ascii="Times New Roman" w:hAnsi="Times New Roman"/>
        </w:rPr>
        <w:t>Redaktionelle Änderungen (GREEN — akzeptiert oder unproblematisch)</w:t>
      </w:r>
    </w:p>
    <w:p>
      <w:pPr>
        <w:pStyle w:val="ListBullet"/>
      </w:pPr>
      <w:r>
        <w:t>Art. 1: 14 Definitionsänderungen — 11 akzeptiert, 3 in Pruefung</w:t>
      </w:r>
    </w:p>
    <w:p>
      <w:pPr>
        <w:pStyle w:val="ListBullet"/>
      </w:pPr>
      <w:r>
        <w:t>Art. 9 (Covenants): Einschränkungen Pre-Closing Ordinary Course — weitgehend akzeptiert</w:t>
      </w:r>
    </w:p>
    <w:p>
      <w:pPr>
        <w:pStyle w:val="ListBullet"/>
      </w:pPr>
      <w:r>
        <w:t>Art. 10 Anlagen: Präzisierung Anlage 5 (Gesellschafterbeschluss) — akzeptiert</w:t>
      </w:r>
    </w:p>
    <w:p/>
    <w:p>
      <w:pPr>
        <w:pStyle w:val="Heading2"/>
      </w:pPr>
      <w:r>
        <w:rPr>
          <w:rFonts w:ascii="Times New Roman" w:hAnsi="Times New Roman"/>
        </w:rPr>
        <w:t>Nächste Schritte für Draft 2</w:t>
      </w:r>
    </w:p>
    <w:p>
      <w:pPr>
        <w:pStyle w:val="ListNumber"/>
      </w:pPr>
      <w:r>
        <w:t>Gegenpositionen intern mit Mandantin abstimmen (Telefonkonferenz 22.07.2026)</w:t>
      </w:r>
    </w:p>
    <w:p>
      <w:pPr>
        <w:pStyle w:val="ListNumber"/>
      </w:pPr>
      <w:r>
        <w:t>Redline Draft 2 (Roosendaal Birkenhainer gegen Markup Gegenseite) erstellen</w:t>
      </w:r>
    </w:p>
    <w:p>
      <w:pPr>
        <w:pStyle w:val="ListNumber"/>
      </w:pPr>
      <w:r>
        <w:t>Verhandlungsgespräche Parteien anberaumen (Termin: vsl. 08.08.2026, Berlin)</w:t>
      </w:r>
    </w:p>
    <w:p>
      <w:pPr>
        <w:pStyle w:val="ListNumber"/>
      </w:pPr>
      <w:r>
        <w:t>SPA Draft 3 ziel: 15.08.2026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