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Warranties-Katalog: Knowledge Qualifier und Materiality Auslesen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20. Juli 2026</w:t>
      </w:r>
    </w:p>
    <w:p>
      <w:pPr>
        <w:jc w:val="left"/>
      </w:pPr>
      <w:r>
        <w:rPr>
          <w:b/>
        </w:rPr>
        <w:t>Bearbeiter:</w:t>
      </w:r>
      <w:r>
        <w:t xml:space="preserve"> RA Dr. Henrik Roosendaal</w:t>
      </w:r>
    </w:p>
    <w:p/>
    <w:p>
      <w:pPr>
        <w:pStyle w:val="Heading2"/>
      </w:pPr>
      <w:r>
        <w:rPr>
          <w:rFonts w:ascii="Times New Roman" w:hAnsi="Times New Roman"/>
        </w:rPr>
        <w:t>Überblick</w:t>
      </w:r>
    </w:p>
    <w:p>
      <w:pPr>
        <w:jc w:val="left"/>
      </w:pPr>
      <w:r>
        <w:t>Der Warranties-Katalog des SPA (Art. 4) umfasst 47 Representations and Warranties der Verkäuferin. Dieses Aktenstück dokumentiert die Drafting-Entscheidungen zu Knowledge Qualifier, Materiality-Qualifier und Materiality Auslesen.</w:t>
      </w:r>
    </w:p>
    <w:p/>
    <w:p>
      <w:pPr>
        <w:pStyle w:val="Heading2"/>
      </w:pPr>
      <w:r>
        <w:rPr>
          <w:rFonts w:ascii="Times New Roman" w:hAnsi="Times New Roman"/>
        </w:rPr>
        <w:t>Knowledge Qualifier: Ausgangslage und Optionen</w:t>
      </w:r>
    </w:p>
    <w:p>
      <w:pPr>
        <w:pStyle w:val="Heading3"/>
      </w:pPr>
      <w:r>
        <w:rPr>
          <w:rFonts w:ascii="Times New Roman" w:hAnsi="Times New Roman"/>
        </w:rPr>
        <w:t>Option A — "Actual Knowledge" (eng)</w:t>
      </w:r>
    </w:p>
    <w:p>
      <w:pPr>
        <w:jc w:val="left"/>
      </w:pPr>
      <w:r>
        <w:t>Formulierung: "to the actual knowledge of the Seller, meaning only the actual knowledge of [CEO Dr. Volkenrath-Eichmueller and CFO Dipl.-Kfm. Rahming-Ostberg] without any duty of inquiry."</w:t>
      </w:r>
    </w:p>
    <w:p>
      <w:pPr>
        <w:jc w:val="left"/>
      </w:pPr>
      <w:r>
        <w:rPr>
          <w:b/>
        </w:rPr>
        <w:t>Bewertung:</w:t>
      </w:r>
      <w:r>
        <w:t xml:space="preserve"> Stark für Verkäufer. Gegenseite wird ablehnen. Risiko: Verkäufer hält Informationen vor, die nur Bereichsleitung bekannt — Käufer ungeschützt.</w:t>
      </w:r>
    </w:p>
    <w:p>
      <w:pPr>
        <w:jc w:val="left"/>
      </w:pPr>
      <w:r>
        <w:rPr>
          <w:b/>
        </w:rPr>
        <w:t>Empfehlung:</w:t>
      </w:r>
      <w:r>
        <w:t xml:space="preserve"> Als Ausgangspunkt in Draft 1 verwenden, aber Kompromissbereitschaft signalisieren.</w:t>
      </w:r>
    </w:p>
    <w:p>
      <w:pPr>
        <w:pStyle w:val="Heading3"/>
      </w:pPr>
      <w:r>
        <w:rPr>
          <w:rFonts w:ascii="Times New Roman" w:hAnsi="Times New Roman"/>
        </w:rPr>
        <w:t>Option B — "Best Knowledge with Inquiry" (Standard)</w:t>
      </w:r>
    </w:p>
    <w:p>
      <w:pPr>
        <w:jc w:val="left"/>
      </w:pPr>
      <w:r>
        <w:t>Formulierung (Defined Term "Seller's Knowledge"): "the actual knowledge of [CEO, CFO, GC, Head of Engineering, Head of Finance], after having made reasonable inquiries of each of them."</w:t>
      </w:r>
    </w:p>
    <w:p>
      <w:pPr>
        <w:jc w:val="left"/>
      </w:pPr>
      <w:r>
        <w:rPr>
          <w:b/>
        </w:rPr>
        <w:t>Bewertung:</w:t>
      </w:r>
      <w:r>
        <w:t xml:space="preserve"> Marktstandard bei deutschen M&amp;A-Transaktionen dieser Groesse. Fairer Kompromiss. Personenkreis klar begrenzt.</w:t>
      </w:r>
    </w:p>
    <w:p>
      <w:pPr>
        <w:jc w:val="left"/>
      </w:pPr>
      <w:r>
        <w:rPr>
          <w:b/>
        </w:rPr>
        <w:t>Empfehlung:</w:t>
      </w:r>
      <w:r>
        <w:t xml:space="preserve"> Verkaeuferposition für SPA Draft 2; Personenkreis auf 5 Personen beschränkt.</w:t>
      </w:r>
    </w:p>
    <w:p>
      <w:pPr>
        <w:pStyle w:val="Heading3"/>
      </w:pPr>
      <w:r>
        <w:rPr>
          <w:rFonts w:ascii="Times New Roman" w:hAnsi="Times New Roman"/>
        </w:rPr>
        <w:t>Option C — "Constructive Knowledge" (weit)</w:t>
      </w:r>
    </w:p>
    <w:p>
      <w:pPr>
        <w:jc w:val="left"/>
      </w:pPr>
      <w:r>
        <w:t>Formulierung: "knowledge that the Seller has or ought to have had after due and careful review of its own books and records."</w:t>
      </w:r>
    </w:p>
    <w:p>
      <w:pPr>
        <w:jc w:val="left"/>
      </w:pPr>
      <w:r>
        <w:rPr>
          <w:b/>
        </w:rPr>
        <w:t>Bewertung:</w:t>
      </w:r>
      <w:r>
        <w:t xml:space="preserve"> Stark für Käufer. Faktisch bejaht Verkäufer-Warranty immer, wenn Information irgendwo im Konzern vorhanden war. Inakzeptabel für Verkäuferin.</w:t>
      </w:r>
    </w:p>
    <w:p>
      <w:pPr>
        <w:jc w:val="left"/>
      </w:pPr>
      <w:r>
        <w:rPr>
          <w:b/>
        </w:rPr>
        <w:t>Empfehlung:</w:t>
      </w:r>
      <w:r>
        <w:t xml:space="preserve"> Ablehnen; als Maximum-Konzession: "constructive knowledge only as to documents actually in the Data Room."</w:t>
      </w:r>
    </w:p>
    <w:p/>
    <w:p>
      <w:pPr>
        <w:pStyle w:val="Heading2"/>
      </w:pPr>
      <w:r>
        <w:rPr>
          <w:rFonts w:ascii="Times New Roman" w:hAnsi="Times New Roman"/>
        </w:rPr>
        <w:t>Materiality Qualifier in Warranties</w:t>
      </w:r>
    </w:p>
    <w:p>
      <w:pPr>
        <w:jc w:val="left"/>
      </w:pPr>
      <w:r>
        <w:t>Mehrere Warranties enthalten Materialitaets-Qualifier ("in all material respects", "material contracts", "no material litigation"). Zwei Probleme:</w:t>
      </w:r>
    </w:p>
    <w:p>
      <w:pPr>
        <w:pStyle w:val="Heading3"/>
      </w:pPr>
      <w:r>
        <w:rPr>
          <w:rFonts w:ascii="Times New Roman" w:hAnsi="Times New Roman"/>
        </w:rPr>
        <w:t>Problem 1 — Doppelte Materialitaet</w:t>
      </w:r>
    </w:p>
    <w:p>
      <w:pPr>
        <w:jc w:val="left"/>
      </w:pPr>
      <w:r>
        <w:t>Wenn Warranty lautet: "no Material Adverse Change has occurred" UND Indemnification-Klausel verlangt, dass Verletzung "material" sein muss — dann muss Verständnis "materiell" zweifach überschritten werden. Ungewuenschte Ergebnisse.</w:t>
      </w:r>
    </w:p>
    <w:p>
      <w:pPr>
        <w:jc w:val="left"/>
      </w:pPr>
      <w:r>
        <w:rPr>
          <w:b/>
        </w:rPr>
        <w:t>Lösung:</w:t>
      </w:r>
      <w:r>
        <w:t xml:space="preserve"> Materiality Auslesen für Indemnification-Zwecke (unten).</w:t>
      </w:r>
    </w:p>
    <w:p>
      <w:pPr>
        <w:pStyle w:val="Heading3"/>
      </w:pPr>
      <w:r>
        <w:rPr>
          <w:rFonts w:ascii="Times New Roman" w:hAnsi="Times New Roman"/>
        </w:rPr>
        <w:t>Problem 2 — Fehlende Definition "material"</w:t>
      </w:r>
    </w:p>
    <w:p>
      <w:pPr>
        <w:jc w:val="left"/>
      </w:pPr>
      <w:r>
        <w:t>SPA Draft 1 verwendet "material" ohne Definition. Interpretationsrisiko erheblich.</w:t>
      </w:r>
    </w:p>
    <w:p>
      <w:pPr>
        <w:jc w:val="left"/>
      </w:pPr>
      <w:r>
        <w:rPr>
          <w:b/>
        </w:rPr>
        <w:t>Lösung:</w:t>
      </w:r>
      <w:r>
        <w:t xml:space="preserve"> Führe Defined Term "Material" ein: "any matter involving EUR 150,000 or more, or which would be expected to influence the decision of a reasonable investor." Threshold schriftlich verankern.</w:t>
      </w:r>
    </w:p>
    <w:p/>
    <w:p>
      <w:pPr>
        <w:pStyle w:val="Heading2"/>
      </w:pPr>
      <w:r>
        <w:rPr>
          <w:rFonts w:ascii="Times New Roman" w:hAnsi="Times New Roman"/>
        </w:rPr>
        <w:t>Materiality Auslesen</w:t>
      </w:r>
    </w:p>
    <w:p>
      <w:pPr>
        <w:jc w:val="left"/>
      </w:pPr>
      <w:r>
        <w:rPr>
          <w:b/>
        </w:rPr>
        <w:t>Zweck:</w:t>
      </w:r>
      <w:r>
        <w:t xml:space="preserve"> Für Zwecke der Indemnification werden Materialitaets-Qualifier in Warranties "weggedacht" — Anspruch entsteht auch bei nicht-materieller Verletzung (sofern Basket überschritten).</w:t>
      </w:r>
    </w:p>
    <w:p>
      <w:pPr>
        <w:jc w:val="left"/>
      </w:pPr>
      <w:r>
        <w:rPr>
          <w:b/>
        </w:rPr>
        <w:t>Formulierungsvorschlag:</w:t>
      </w:r>
    </w:p>
    <w:p>
      <w:pPr>
        <w:jc w:val="left"/>
      </w:pPr>
      <w:r>
        <w:t>"For purposes of calculating Losses under Article 6 (Indemnification), each representation and warranty set forth in Article 4 shall be read without giving effect to any qualification as to 'material', 'materiality', 'Material Adverse Change' or words of similar import."</w:t>
      </w:r>
    </w:p>
    <w:p>
      <w:pPr>
        <w:jc w:val="left"/>
      </w:pPr>
      <w:r>
        <w:rPr>
          <w:b/>
        </w:rPr>
        <w:t>Bewertung:</w:t>
      </w:r>
      <w:r>
        <w:t xml:space="preserve"> Standard in angloamerikanisch geprägten deutschen M&amp;A-Deals. Käufer wird zustimmen. Verkäufer: Akzeptabel, da de minimis Basket als Mindestschutz verbleibt.</w:t>
      </w:r>
    </w:p>
    <w:p/>
    <w:p>
      <w:pPr>
        <w:pStyle w:val="Heading2"/>
      </w:pPr>
      <w:r>
        <w:rPr>
          <w:rFonts w:ascii="Times New Roman" w:hAnsi="Times New Roman"/>
        </w:rPr>
        <w:t>Endgültiger Knowledge-Qualifier-Entwurf (Draft 2)</w:t>
      </w:r>
    </w:p>
    <w:p>
      <w:pPr>
        <w:jc w:val="left"/>
      </w:pPr>
      <w:r>
        <w:t>```</w:t>
      </w:r>
    </w:p>
    <w:p>
      <w:pPr>
        <w:jc w:val="left"/>
      </w:pPr>
      <w:r>
        <w:t>"Seller's Knowledge" means the actual knowledge, after reasonable inquiry,</w:t>
      </w:r>
    </w:p>
    <w:p>
      <w:pPr>
        <w:jc w:val="left"/>
      </w:pPr>
      <w:r>
        <w:t>of each of the following individuals as of the date of this Agreement:</w:t>
      </w:r>
    </w:p>
    <w:p>
      <w:pPr>
        <w:jc w:val="left"/>
      </w:pPr>
      <w:r>
        <w:t>(i)  Dr. Claudia Volkenrath-Eichmueller (Chief Executive Officer),</w:t>
      </w:r>
    </w:p>
    <w:p>
      <w:pPr>
        <w:jc w:val="left"/>
      </w:pPr>
      <w:r>
        <w:t>(ii) Dipl.-Kfm. Peter Rahming-Ostberg (Chief Financial Officer),</w:t>
      </w:r>
    </w:p>
    <w:p>
      <w:pPr>
        <w:jc w:val="left"/>
      </w:pPr>
      <w:r>
        <w:t>(iii) Dr. Franziska Schwingenstein-Pohlmann (General Counsel),</w:t>
      </w:r>
    </w:p>
    <w:p>
      <w:pPr>
        <w:jc w:val="left"/>
      </w:pPr>
      <w:r>
        <w:t>(iv) Dipl.-Ing. Robert Falkenberg-Struve (Head of Engineering, Target Company),</w:t>
      </w:r>
    </w:p>
    <w:p>
      <w:pPr>
        <w:jc w:val="left"/>
      </w:pPr>
      <w:r>
        <w:t>(v)  Monika Dreissigacker-Baus (Head of Finance, Target Company);</w:t>
      </w:r>
    </w:p>
    <w:p>
      <w:pPr>
        <w:jc w:val="left"/>
      </w:pPr>
      <w:r>
        <w:t>and no other individual or entity shall be attributed with knowledge</w:t>
      </w:r>
    </w:p>
    <w:p>
      <w:pPr>
        <w:jc w:val="left"/>
      </w:pPr>
      <w:r>
        <w:t>for purposes of this Agreement.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Warranties mit und ohne Knowledge Qualifier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Warranty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Knowledge Qualifier?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Materiality?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Gründung und Bestehen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Insolvenz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Genehmigungen Solarpark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Material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Umweltverpflichtungen Grundstueck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wesentlichen Rechtsstreitigkeiten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Material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behördlichen Bescheide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Material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Steuerliche Warranties (4.31-4.35)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4.31 ff.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Material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Vollständigkeit Disclosure Schedules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Arbeitnehmerverhältnisse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Material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weiteren Verbindlichkeiten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W. 4.47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Seller's Knowledge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Material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