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06 — MAC-Klausel: Formulierungsoptionen und Energiemarkt-Carve-out</w:t>
      </w:r>
    </w:p>
    <w:p>
      <w:pPr>
        <w:jc w:val="left"/>
      </w:pPr>
      <w:r>
        <w:rPr>
          <w:b/>
        </w:rPr>
        <w:t>AZ:</w:t>
      </w:r>
      <w:r>
        <w:t xml:space="preserve"> MR-2026-DR-0717</w:t>
      </w:r>
    </w:p>
    <w:p>
      <w:pPr>
        <w:jc w:val="left"/>
      </w:pPr>
      <w:r>
        <w:rPr>
          <w:b/>
        </w:rPr>
        <w:t>Datum:</w:t>
      </w:r>
      <w:r>
        <w:t xml:space="preserve"> 25. Juli 2026</w:t>
      </w:r>
    </w:p>
    <w:p>
      <w:pPr>
        <w:jc w:val="left"/>
      </w:pPr>
      <w:r>
        <w:rPr>
          <w:b/>
        </w:rPr>
        <w:t>Bearbeiter:</w:t>
      </w:r>
      <w:r>
        <w:t xml:space="preserve"> Dr. (iur.) Mira Pohlmann</w:t>
      </w:r>
    </w:p>
    <w:p/>
    <w:p>
      <w:pPr>
        <w:pStyle w:val="Heading2"/>
      </w:pPr>
      <w:r>
        <w:rPr>
          <w:rFonts w:ascii="Times New Roman" w:hAnsi="Times New Roman"/>
        </w:rPr>
        <w:t>Kontext</w:t>
      </w:r>
    </w:p>
    <w:p>
      <w:pPr>
        <w:jc w:val="left"/>
      </w:pPr>
      <w:r>
        <w:t>Der russische Angriff auf die Ukraine (2022) und die nachfolgende Energiepreiskrise haben den deutschen Solarenergiesektor stark beeinflusst — sowohl positiv (gestiegene Einspeisepreise, politischer Rückenwind) als auch negativ (gestiegene Beschaffungskosten, Inflation). Die MAC-Klausel des SPA muss diesen Kontext abbilden.</w:t>
      </w:r>
    </w:p>
    <w:p>
      <w:pPr>
        <w:jc w:val="left"/>
      </w:pPr>
      <w:r>
        <w:t>Hintergrund: Volkenrath Solar Eppendorf GmbH operiert nach festem EEG-Einspeisevergütungsregime (Festpreis), ist daher weniger marktpreissensitiv als ein Spot-Market-Teilnehmer. Dieses Argument stützt breite Energiemarkt-Carve-outs für Verkäufer.</w:t>
      </w:r>
    </w:p>
    <w:p/>
    <w:p>
      <w:pPr>
        <w:pStyle w:val="Heading2"/>
      </w:pPr>
      <w:r>
        <w:rPr>
          <w:rFonts w:ascii="Times New Roman" w:hAnsi="Times New Roman"/>
        </w:rPr>
        <w:t>Optionen MAC-Klausel-Formulierung</w:t>
      </w:r>
    </w:p>
    <w:p>
      <w:pPr>
        <w:pStyle w:val="Heading3"/>
      </w:pPr>
      <w:r>
        <w:rPr>
          <w:rFonts w:ascii="Times New Roman" w:hAnsi="Times New Roman"/>
        </w:rPr>
        <w:t>Option A — Breite Käufer-Definition (Ausgangspunkt Gegenseite)</w:t>
      </w:r>
    </w:p>
    <w:p>
      <w:pPr>
        <w:jc w:val="left"/>
      </w:pPr>
      <w:r>
        <w:t>"'Material Adverse Change' or 'MAC' means any change, event, circumstance, occurrence or development that, individually or in the aggregate, has had or would reasonably be expected to have a material adverse effect on (a) the business, properties, assets, liabilities, financial condition or results of operations of the Target Company, taken as a whole, or (b) the ability of Seller to consummate the transactions contemplated by this Agreement."</w:t>
      </w:r>
    </w:p>
    <w:p>
      <w:pPr>
        <w:jc w:val="left"/>
      </w:pPr>
      <w:r>
        <w:rPr>
          <w:b/>
        </w:rPr>
        <w:t>Bewertung:</w:t>
      </w:r>
      <w:r>
        <w:t xml:space="preserve"> Sehr weit; kein Carve-out. Für Verkäufer inakzeptabel, da allgemeine Markt­schwankungen, regulatorische Änderungen und externe Energiekrisen erfasst würden.</w:t>
      </w:r>
    </w:p>
    <w:p>
      <w:pPr>
        <w:pStyle w:val="Heading3"/>
      </w:pPr>
      <w:r>
        <w:rPr>
          <w:rFonts w:ascii="Times New Roman" w:hAnsi="Times New Roman"/>
        </w:rPr>
        <w:t>Option B — Standard-MAC mit moderaten Carve-outs (Kompromissposition)</w:t>
      </w:r>
    </w:p>
    <w:p>
      <w:pPr>
        <w:jc w:val="left"/>
      </w:pPr>
      <w:r>
        <w:t>Empfohlen als Verkäufer-Gegenvorschlag zu Draft 2:</w:t>
      </w:r>
    </w:p>
    <w:p>
      <w:pPr>
        <w:jc w:val="left"/>
      </w:pPr>
      <w:r>
        <w:t>```</w:t>
      </w:r>
    </w:p>
    <w:p>
      <w:pPr>
        <w:jc w:val="left"/>
      </w:pPr>
      <w:r>
        <w:t>"Material Adverse Change" means any event, change, circumstance or effect</w:t>
      </w:r>
    </w:p>
    <w:p>
      <w:pPr>
        <w:jc w:val="left"/>
      </w:pPr>
      <w:r>
        <w:t>that is or would reasonably be expected to be materially adverse to the</w:t>
      </w:r>
    </w:p>
    <w:p>
      <w:pPr>
        <w:jc w:val="left"/>
      </w:pPr>
      <w:r>
        <w:t>business, assets, liabilities, results of operations or financial condition</w:t>
      </w:r>
    </w:p>
    <w:p>
      <w:pPr>
        <w:jc w:val="left"/>
      </w:pPr>
      <w:r>
        <w:t>of the Target Company, taken as a whole; provided, however, that none of the</w:t>
      </w:r>
    </w:p>
    <w:p>
      <w:pPr>
        <w:jc w:val="left"/>
      </w:pPr>
      <w:r>
        <w:t>following shall constitute or be taken into account in determining whether</w:t>
      </w:r>
    </w:p>
    <w:p>
      <w:pPr>
        <w:jc w:val="left"/>
      </w:pPr>
      <w:r>
        <w:t>a Material Adverse Change has occurred:</w:t>
      </w:r>
    </w:p>
    <w:p>
      <w:pPr>
        <w:jc w:val="left"/>
      </w:pPr>
      <w:r>
        <w:t>(i)   changes in general economic conditions or conditions in the financial</w:t>
      </w:r>
    </w:p>
    <w:p>
      <w:pPr>
        <w:jc w:val="left"/>
      </w:pPr>
      <w:r>
        <w:t>markets, capital markets or credit markets, including interest rates;</w:t>
      </w:r>
    </w:p>
    <w:p>
      <w:pPr>
        <w:jc w:val="left"/>
      </w:pPr>
      <w:r>
        <w:t>(ii)  changes in conditions generally affecting the energy sector or the</w:t>
      </w:r>
    </w:p>
    <w:p>
      <w:pPr>
        <w:jc w:val="left"/>
      </w:pPr>
      <w:r>
        <w:t>renewable energy industry, including electricity prices, feed-in tariffs</w:t>
      </w:r>
    </w:p>
    <w:p>
      <w:pPr>
        <w:jc w:val="left"/>
      </w:pPr>
      <w:r>
        <w:t>or energy regulations, unless disproportionately affecting the Target</w:t>
      </w:r>
    </w:p>
    <w:p>
      <w:pPr>
        <w:jc w:val="left"/>
      </w:pPr>
      <w:r>
        <w:t>Company relative to other market participants;</w:t>
      </w:r>
    </w:p>
    <w:p>
      <w:pPr>
        <w:jc w:val="left"/>
      </w:pPr>
      <w:r>
        <w:t>(iii) changes in applicable Laws or regulations (including changes to the EEG,</w:t>
      </w:r>
    </w:p>
    <w:p>
      <w:pPr>
        <w:jc w:val="left"/>
      </w:pPr>
      <w:r>
        <w:t>the GEG or comparable statutes), or the interpretation thereof</w:t>
      </w:r>
    </w:p>
    <w:p>
      <w:pPr>
        <w:jc w:val="left"/>
      </w:pPr>
      <w:r>
        <w:t>by governmental authorities;</w:t>
      </w:r>
    </w:p>
    <w:p>
      <w:pPr>
        <w:jc w:val="left"/>
      </w:pPr>
      <w:r>
        <w:t>(iv)  acts of war, terrorism, natural disasters, pandemics, or other force</w:t>
      </w:r>
    </w:p>
    <w:p>
      <w:pPr>
        <w:jc w:val="left"/>
      </w:pPr>
      <w:r>
        <w:t>majeure events, unless disproportionately affecting the Target Company;</w:t>
      </w:r>
    </w:p>
    <w:p>
      <w:pPr>
        <w:jc w:val="left"/>
      </w:pPr>
      <w:r>
        <w:t>(v)   the announcement or execution of this Agreement or the transactions</w:t>
      </w:r>
    </w:p>
    <w:p>
      <w:pPr>
        <w:jc w:val="left"/>
      </w:pPr>
      <w:r>
        <w:t>contemplated hereby, including any loss of customers or employees</w:t>
      </w:r>
    </w:p>
    <w:p>
      <w:pPr>
        <w:jc w:val="left"/>
      </w:pPr>
      <w:r>
        <w:t>resulting therefrom;</w:t>
      </w:r>
    </w:p>
    <w:p>
      <w:pPr>
        <w:jc w:val="left"/>
      </w:pPr>
      <w:r>
        <w:t>(vi)  actions taken by Buyer or at Buyer's written request or consent.</w:t>
      </w:r>
    </w:p>
    <w:p>
      <w:pPr>
        <w:jc w:val="left"/>
      </w:pPr>
      <w:r>
        <w:t>```</w:t>
      </w:r>
    </w:p>
    <w:p>
      <w:pPr>
        <w:jc w:val="left"/>
      </w:pPr>
      <w:r>
        <w:rPr>
          <w:b/>
        </w:rPr>
        <w:t>Bewertung:</w:t>
      </w:r>
      <w:r>
        <w:t xml:space="preserve"> Marktstandard. Umfasst die wichtigsten Carve-outs. Clause (ii) schützt Verkäufer vor Energiemarktrisiken; Disproportionality-Carve-out ("unless disproportionately affecting") begrenzt Missbrauch.</w:t>
      </w:r>
    </w:p>
    <w:p>
      <w:pPr>
        <w:pStyle w:val="Heading3"/>
      </w:pPr>
      <w:r>
        <w:rPr>
          <w:rFonts w:ascii="Times New Roman" w:hAnsi="Times New Roman"/>
        </w:rPr>
        <w:t>Option C — Enge Verkäufer-Definition (maximale Schutzposition)</w:t>
      </w:r>
    </w:p>
    <w:p>
      <w:pPr>
        <w:jc w:val="left"/>
      </w:pPr>
      <w:r>
        <w:t>MAC nur bei spezifisch targetbezogenen Ereignissen, nicht bei Branchentrends:</w:t>
      </w:r>
    </w:p>
    <w:p>
      <w:pPr>
        <w:jc w:val="left"/>
      </w:pPr>
      <w:r>
        <w:t>"MAC requires that the adverse effect has been caused solely by events specific and exclusive to the Target Company's own operations, assets or legal status, and shall expressly exclude any general industry, market or macro-economic developments."</w:t>
      </w:r>
    </w:p>
    <w:p>
      <w:pPr>
        <w:jc w:val="left"/>
      </w:pPr>
      <w:r>
        <w:rPr>
          <w:b/>
        </w:rPr>
        <w:t>Bewertung:</w:t>
      </w:r>
      <w:r>
        <w:t xml:space="preserve"> Zu restriktiv für Käufer; kaum durchsetzbar. Nur als Ausgangsposition.</w:t>
      </w:r>
    </w:p>
    <w:p/>
    <w:p>
      <w:pPr>
        <w:pStyle w:val="Heading2"/>
      </w:pPr>
      <w:r>
        <w:rPr>
          <w:rFonts w:ascii="Times New Roman" w:hAnsi="Times New Roman"/>
        </w:rPr>
        <w:t>Drafting-Empfehlung</w:t>
      </w:r>
    </w:p>
    <w:p>
      <w:pPr>
        <w:jc w:val="left"/>
      </w:pPr>
      <w:r>
        <w:t xml:space="preserve">Verkaeuferseite sollte </w:t>
      </w:r>
      <w:r>
        <w:rPr>
          <w:b/>
        </w:rPr>
        <w:t>Option B</w:t>
      </w:r>
      <w:r>
        <w:t xml:space="preserve"> als Gegenvorschlag einsetzen. Besonderes Augenmerk auf:</w:t>
      </w:r>
    </w:p>
    <w:p>
      <w:pPr>
        <w:pStyle w:val="ListNumber"/>
      </w:pPr>
      <w:r>
        <w:rPr>
          <w:b/>
        </w:rPr>
        <w:t>Disproportionality-Carve-out</w:t>
      </w:r>
      <w:r>
        <w:t>: Formulierung "unless disproportionately affecting the Target Company" ist Kompromiss zwischen Verkäufer- und Käuferinteresse — unbedingt beibehalten.</w:t>
      </w:r>
    </w:p>
    <w:p>
      <w:pPr>
        <w:pStyle w:val="ListNumber"/>
      </w:pPr>
      <w:r>
        <w:rPr>
          <w:b/>
        </w:rPr>
        <w:t>Announcement-Carve-out</w:t>
      </w:r>
      <w:r>
        <w:t>: Clause (v) schützt vor Ansprüchen wegen Kundenfluktuation nach Bekanntgabe der Transaktion — nicht weglassen.</w:t>
      </w:r>
    </w:p>
    <w:p>
      <w:pPr>
        <w:pStyle w:val="ListNumber"/>
      </w:pPr>
      <w:r>
        <w:rPr>
          <w:b/>
        </w:rPr>
        <w:t>"Material"</w:t>
      </w:r>
      <w:r>
        <w:t>: Schwelle für MAC sollte sehr hoch sein. Richtwert in Rechtsprechung: mindestens 25% EBITDA-Rückgang über zwei Quartale. Im SPA ausdrücklich verankern oder undefiniert lassen (dann: allgemeines Verständnis).</w:t>
      </w:r>
    </w:p>
    <w:p/>
    <w:p>
      <w:pPr>
        <w:pStyle w:val="Heading2"/>
      </w:pPr>
      <w:r>
        <w:rPr>
          <w:rFonts w:ascii="Times New Roman" w:hAnsi="Times New Roman"/>
        </w:rPr>
        <w:t>Energiemarkt-spezifische Erwägungen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Risiko</w:t>
            </w:r>
          </w:p>
        </w:tc>
        <w:tc>
          <w:tcPr>
            <w:tcW w:type="dxa" w:w="3024"/>
          </w:tcPr>
          <w:p>
            <w:r>
              <w:rPr>
                <w:rFonts w:ascii="Times New Roman" w:hAnsi="Times New Roman"/>
                <w:b/>
                <w:sz w:val="20"/>
              </w:rPr>
              <w:t>Carve-out in Option B</w:t>
            </w:r>
          </w:p>
        </w:tc>
        <w:tc>
          <w:tcPr>
            <w:tcW w:type="dxa" w:w="3024"/>
          </w:tcPr>
          <w:p>
            <w:r>
              <w:rPr>
                <w:rFonts w:ascii="Times New Roman" w:hAnsi="Times New Roman"/>
                <w:b/>
                <w:sz w:val="20"/>
              </w:rPr>
              <w:t>Kommentar</w:t>
            </w:r>
          </w:p>
        </w:tc>
      </w:tr>
      <w:tr>
        <w:tc>
          <w:tcPr>
            <w:tcW w:type="dxa" w:w="3024"/>
          </w:tcPr>
          <w:p>
            <w:r>
              <w:rPr>
                <w:rFonts w:ascii="Times New Roman" w:hAnsi="Times New Roman"/>
                <w:sz w:val="20"/>
              </w:rPr>
              <w:t>Allgemeiner Strompreisabfall</w:t>
            </w:r>
          </w:p>
        </w:tc>
        <w:tc>
          <w:tcPr>
            <w:tcW w:type="dxa" w:w="3024"/>
          </w:tcPr>
          <w:p>
            <w:r>
              <w:rPr>
                <w:rFonts w:ascii="Times New Roman" w:hAnsi="Times New Roman"/>
                <w:sz w:val="20"/>
              </w:rPr>
              <w:t>Ja (Clause ii)</w:t>
            </w:r>
          </w:p>
        </w:tc>
        <w:tc>
          <w:tcPr>
            <w:tcW w:type="dxa" w:w="3024"/>
          </w:tcPr>
          <w:p>
            <w:r>
              <w:rPr>
                <w:rFonts w:ascii="Times New Roman" w:hAnsi="Times New Roman"/>
                <w:sz w:val="20"/>
              </w:rPr>
              <w:t>SPV in EEG-Festpreisregime — tatsächlich kein Risiko</w:t>
            </w:r>
          </w:p>
        </w:tc>
      </w:tr>
      <w:tr>
        <w:tc>
          <w:tcPr>
            <w:tcW w:type="dxa" w:w="3024"/>
          </w:tcPr>
          <w:p>
            <w:r>
              <w:rPr>
                <w:rFonts w:ascii="Times New Roman" w:hAnsi="Times New Roman"/>
                <w:sz w:val="20"/>
              </w:rPr>
              <w:t>EEG-Novelle (Vergütungskürzung)</w:t>
            </w:r>
          </w:p>
        </w:tc>
        <w:tc>
          <w:tcPr>
            <w:tcW w:type="dxa" w:w="3024"/>
          </w:tcPr>
          <w:p>
            <w:r>
              <w:rPr>
                <w:rFonts w:ascii="Times New Roman" w:hAnsi="Times New Roman"/>
                <w:sz w:val="20"/>
              </w:rPr>
              <w:t>Ja (Clause iii)</w:t>
            </w:r>
          </w:p>
        </w:tc>
        <w:tc>
          <w:tcPr>
            <w:tcW w:type="dxa" w:w="3024"/>
          </w:tcPr>
          <w:p>
            <w:r>
              <w:rPr>
                <w:rFonts w:ascii="Times New Roman" w:hAnsi="Times New Roman"/>
                <w:sz w:val="20"/>
              </w:rPr>
              <w:t>Gesetzgebungsrisiko ausgenommen</w:t>
            </w:r>
          </w:p>
        </w:tc>
      </w:tr>
      <w:tr>
        <w:tc>
          <w:tcPr>
            <w:tcW w:type="dxa" w:w="3024"/>
          </w:tcPr>
          <w:p>
            <w:r>
              <w:rPr>
                <w:rFonts w:ascii="Times New Roman" w:hAnsi="Times New Roman"/>
                <w:sz w:val="20"/>
              </w:rPr>
              <w:t>Netzengpass / Abregelungen</w:t>
            </w:r>
          </w:p>
        </w:tc>
        <w:tc>
          <w:tcPr>
            <w:tcW w:type="dxa" w:w="3024"/>
          </w:tcPr>
          <w:p>
            <w:r>
              <w:rPr>
                <w:rFonts w:ascii="Times New Roman" w:hAnsi="Times New Roman"/>
                <w:sz w:val="20"/>
              </w:rPr>
              <w:t>Nein</w:t>
            </w:r>
          </w:p>
        </w:tc>
        <w:tc>
          <w:tcPr>
            <w:tcW w:type="dxa" w:w="3024"/>
          </w:tcPr>
          <w:p>
            <w:r>
              <w:rPr>
                <w:rFonts w:ascii="Times New Roman" w:hAnsi="Times New Roman"/>
                <w:sz w:val="20"/>
              </w:rPr>
              <w:t>Operatives Risiko SPV; DD-Ergebnis prüfen</w:t>
            </w:r>
          </w:p>
        </w:tc>
      </w:tr>
      <w:tr>
        <w:tc>
          <w:tcPr>
            <w:tcW w:type="dxa" w:w="3024"/>
          </w:tcPr>
          <w:p>
            <w:r>
              <w:rPr>
                <w:rFonts w:ascii="Times New Roman" w:hAnsi="Times New Roman"/>
                <w:sz w:val="20"/>
              </w:rPr>
              <w:t>Ausfall Solarmodule (technisch)</w:t>
            </w:r>
          </w:p>
        </w:tc>
        <w:tc>
          <w:tcPr>
            <w:tcW w:type="dxa" w:w="3024"/>
          </w:tcPr>
          <w:p>
            <w:r>
              <w:rPr>
                <w:rFonts w:ascii="Times New Roman" w:hAnsi="Times New Roman"/>
                <w:sz w:val="20"/>
              </w:rPr>
              <w:t>Nein</w:t>
            </w:r>
          </w:p>
        </w:tc>
        <w:tc>
          <w:tcPr>
            <w:tcW w:type="dxa" w:w="3024"/>
          </w:tcPr>
          <w:p>
            <w:r>
              <w:rPr>
                <w:rFonts w:ascii="Times New Roman" w:hAnsi="Times New Roman"/>
                <w:sz w:val="20"/>
              </w:rPr>
              <w:t>Unternehmensspezifisch; Warranty erforderlich</w:t>
            </w:r>
          </w:p>
        </w:tc>
      </w:tr>
      <w:tr>
        <w:tc>
          <w:tcPr>
            <w:tcW w:type="dxa" w:w="3024"/>
          </w:tcPr>
          <w:p>
            <w:r>
              <w:rPr>
                <w:rFonts w:ascii="Times New Roman" w:hAnsi="Times New Roman"/>
                <w:sz w:val="20"/>
              </w:rPr>
              <w:t>Insolvenz SolarService GmbH</w:t>
            </w:r>
          </w:p>
        </w:tc>
        <w:tc>
          <w:tcPr>
            <w:tcW w:type="dxa" w:w="3024"/>
          </w:tcPr>
          <w:p>
            <w:r>
              <w:rPr>
                <w:rFonts w:ascii="Times New Roman" w:hAnsi="Times New Roman"/>
                <w:sz w:val="20"/>
              </w:rPr>
              <w:t>Nein</w:t>
            </w:r>
          </w:p>
        </w:tc>
        <w:tc>
          <w:tcPr>
            <w:tcW w:type="dxa" w:w="3024"/>
          </w:tcPr>
          <w:p>
            <w:r>
              <w:rPr>
                <w:rFonts w:ascii="Times New Roman" w:hAnsi="Times New Roman"/>
                <w:sz w:val="20"/>
              </w:rPr>
              <w:t>Vertragsrisiko; Disclosure aufnehmen</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