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Earn-Out 2027: EBITDA-Definition und Streitbeilegungsmechanismus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28. Juli 2026</w:t>
      </w:r>
    </w:p>
    <w:p>
      <w:pPr>
        <w:jc w:val="left"/>
      </w:pPr>
      <w:r>
        <w:rPr>
          <w:b/>
        </w:rPr>
        <w:t>Bearbeiter:</w:t>
      </w:r>
      <w:r>
        <w:t xml:space="preserve"> RA Dr. Henrik Roosendaal / Senior Associate Dr. (iur.) Mira Pohlmann</w:t>
      </w:r>
    </w:p>
    <w:p/>
    <w:p>
      <w:pPr>
        <w:pStyle w:val="Heading2"/>
      </w:pPr>
      <w:r>
        <w:rPr>
          <w:rFonts w:ascii="Times New Roman" w:hAnsi="Times New Roman"/>
        </w:rPr>
        <w:t>Ausgangssituation</w:t>
      </w:r>
    </w:p>
    <w:p>
      <w:pPr>
        <w:jc w:val="left"/>
      </w:pPr>
      <w:r>
        <w:t>Das Term Sheet sieht einen Earn-Out von bis zu EUR 3.500.000 vor, zahlbar abhängig vom EBITDA der Volkenrath Solar Eppendorf GmbH für das Geschäftsjahr 2027. Zentraler Streitpunkt: Definition des massgeblichen EBITDA. Die Gegenseite hat in ihrem Markup SPA v1 eine weitgehende Eigendefinition ("Adjusted EBITDA") eingeführt, die überwiegend zu Gunsten des Käufers formuliert ist.</w:t>
      </w:r>
    </w:p>
    <w:p/>
    <w:p>
      <w:pPr>
        <w:pStyle w:val="Heading2"/>
      </w:pPr>
      <w:r>
        <w:rPr>
          <w:rFonts w:ascii="Times New Roman" w:hAnsi="Times New Roman"/>
        </w:rPr>
        <w:t>Problemfelder EBITDA-Definition</w:t>
      </w:r>
    </w:p>
    <w:p>
      <w:pPr>
        <w:pStyle w:val="Heading3"/>
      </w:pPr>
      <w:r>
        <w:rPr>
          <w:rFonts w:ascii="Times New Roman" w:hAnsi="Times New Roman"/>
        </w:rPr>
        <w:t>Problem 1 — Erbbaurechtsrente</w:t>
      </w:r>
    </w:p>
    <w:p>
      <w:pPr>
        <w:jc w:val="left"/>
      </w:pPr>
      <w:r>
        <w:t>Jährliche Erbbaurechtsrente EUR 84.000 an Grundeigentümer. Ist diese im EBITDA zu berücksichtigen?</w:t>
      </w:r>
    </w:p>
    <w:p>
      <w:pPr>
        <w:pStyle w:val="ListBullet"/>
      </w:pPr>
      <w:r>
        <w:t>Käufer-Position: Erbbaurechtsrente ist operativer Aufwand; mindert EBITDA</w:t>
      </w:r>
    </w:p>
    <w:p>
      <w:pPr>
        <w:pStyle w:val="ListBullet"/>
      </w:pPr>
      <w:r>
        <w:t>Verkäufer-Position: Erbbaurechtsrente ist zu bereinigen (non-cash-ähnlich, Finanzierungscharakter)</w:t>
      </w:r>
    </w:p>
    <w:p>
      <w:pPr>
        <w:jc w:val="left"/>
      </w:pPr>
      <w:r>
        <w:rPr>
          <w:b/>
        </w:rPr>
        <w:t>Empfehlung Verkaeuferseite:</w:t>
      </w:r>
      <w:r>
        <w:t xml:space="preserve"> Erbbaurechtsrente NICHT aus EBITDA herausrechnen; ist operativer Bestandteil des Geschäftsmodells. Beim Erwerb war dem Käufer bekannt, dass Erbbaurecht besteht.</w:t>
      </w:r>
    </w:p>
    <w:p>
      <w:pPr>
        <w:pStyle w:val="Heading3"/>
      </w:pPr>
      <w:r>
        <w:rPr>
          <w:rFonts w:ascii="Times New Roman" w:hAnsi="Times New Roman"/>
        </w:rPr>
        <w:t>Problem 2 — Abschreibungen Solarmodule</w:t>
      </w:r>
    </w:p>
    <w:p>
      <w:pPr>
        <w:jc w:val="left"/>
      </w:pPr>
      <w:r>
        <w:t>Degressive Abschreibung auf Solarmodule (Nutzungsdauer 20 Jahre, Inbetriebnahme 2021). Abschreibungen ca. EUR 950.000/Jahr.</w:t>
      </w:r>
    </w:p>
    <w:p>
      <w:pPr>
        <w:pStyle w:val="ListBullet"/>
      </w:pPr>
      <w:r>
        <w:t>EBITDA-Definition klammert Abschreibungen heraus (per Definition)</w:t>
      </w:r>
    </w:p>
    <w:p>
      <w:pPr>
        <w:pStyle w:val="ListBullet"/>
      </w:pPr>
      <w:r>
        <w:t>Problem: Zusätzliche Abschreibungen durch Neubewertung nach Eigentuemerwechsel (Purchase Price Allocation — PPA) können das buchhalterische EBITDA beeinflussen</w:t>
      </w:r>
    </w:p>
    <w:p>
      <w:pPr>
        <w:pStyle w:val="ListBullet"/>
      </w:pPr>
      <w:r>
        <w:t>PPA-Effekte müssen herausgerechnet werden (ansonsten "Double Dip" zu Gunsten Käufer)</w:t>
      </w:r>
    </w:p>
    <w:p>
      <w:pPr>
        <w:jc w:val="left"/>
      </w:pPr>
      <w:r>
        <w:rPr>
          <w:b/>
        </w:rPr>
        <w:t>Empfehlung:</w:t>
      </w:r>
      <w:r>
        <w:t xml:space="preserve"> Explizite Herausnahme PPA-Abschreibungen aus Bereinigung.</w:t>
      </w:r>
    </w:p>
    <w:p>
      <w:pPr>
        <w:pStyle w:val="Heading3"/>
      </w:pPr>
      <w:r>
        <w:rPr>
          <w:rFonts w:ascii="Times New Roman" w:hAnsi="Times New Roman"/>
        </w:rPr>
        <w:t>Problem 3 — Ausserordentliche Posten</w:t>
      </w:r>
    </w:p>
    <w:p>
      <w:pPr>
        <w:pStyle w:val="ListBullet"/>
      </w:pPr>
      <w:r>
        <w:t>Was gilt als ausserordentlich? Käufer-Definition: sehr weit (schliesst auch einjahresuebliche Versicherungsaushilfen, Rückstellungen etc. ein)</w:t>
      </w:r>
    </w:p>
    <w:p>
      <w:pPr>
        <w:pStyle w:val="ListBullet"/>
      </w:pPr>
      <w:r>
        <w:t>Verkäufer-Definition: enger — nur echte Einmalereignisse (z.B. Unwetterschaeden, Brandfall)</w:t>
      </w:r>
    </w:p>
    <w:p>
      <w:pPr>
        <w:jc w:val="left"/>
      </w:pPr>
      <w:r>
        <w:rPr>
          <w:b/>
        </w:rPr>
        <w:t>Empfehlung:</w:t>
      </w:r>
      <w:r>
        <w:t xml:space="preserve"> Abgeschlossene Liste ausserordentlicher Bereinigungsposten vereinbaren (Closed List).</w:t>
      </w:r>
    </w:p>
    <w:p>
      <w:pPr>
        <w:pStyle w:val="Heading3"/>
      </w:pPr>
      <w:r>
        <w:rPr>
          <w:rFonts w:ascii="Times New Roman" w:hAnsi="Times New Roman"/>
        </w:rPr>
        <w:t>Problem 4 — Einflussnahme Käufer auf EBITDA</w:t>
      </w:r>
    </w:p>
    <w:p>
      <w:pPr>
        <w:jc w:val="left"/>
      </w:pPr>
      <w:r>
        <w:t>Käufer kann als neuer Eigentümer nach Closing Massnahmen ergreifen, die das EBITDA 2027 negativ beeinflussen (z.B. Management Fee an Mutter-KG, Umstrukturierung, Übertragung Verträge).</w:t>
      </w:r>
    </w:p>
    <w:p>
      <w:pPr>
        <w:jc w:val="left"/>
      </w:pPr>
      <w:r>
        <w:rPr>
          <w:b/>
        </w:rPr>
        <w:t>Empfehlung:</w:t>
      </w:r>
      <w:r>
        <w:t xml:space="preserve"> Earn-Out Protection Covenants aufnehmen:</w:t>
      </w:r>
    </w:p>
    <w:p>
      <w:pPr>
        <w:pStyle w:val="ListBullet"/>
      </w:pPr>
      <w:r>
        <w:t>Keine ausserordentliche Erhöhung von Kosten</w:t>
      </w:r>
    </w:p>
    <w:p>
      <w:pPr>
        <w:pStyle w:val="ListBullet"/>
      </w:pPr>
      <w:r>
        <w:t>Keine Geschäftsverlagerung aus SPV heraus</w:t>
      </w:r>
    </w:p>
    <w:p>
      <w:pPr>
        <w:pStyle w:val="ListBullet"/>
      </w:pPr>
      <w:r>
        <w:t>Betrieb SPV nach Ordinary Course of Business</w:t>
      </w:r>
    </w:p>
    <w:p>
      <w:pPr>
        <w:pStyle w:val="ListBullet"/>
      </w:pPr>
      <w:r>
        <w:t>Keine neuen konzerndinternen Verträge ohne Zustimmung Earn-Out-Schuldner</w:t>
      </w:r>
    </w:p>
    <w:p/>
    <w:p>
      <w:pPr>
        <w:pStyle w:val="Heading2"/>
      </w:pPr>
      <w:r>
        <w:rPr>
          <w:rFonts w:ascii="Times New Roman" w:hAnsi="Times New Roman"/>
        </w:rPr>
        <w:t>EBITDA-Definition: Formulierungsvorschlag Verkaeuferseite</w:t>
      </w:r>
    </w:p>
    <w:p>
      <w:pPr>
        <w:jc w:val="left"/>
      </w:pPr>
      <w:r>
        <w:t>```</w:t>
      </w:r>
    </w:p>
    <w:p>
      <w:pPr>
        <w:jc w:val="left"/>
      </w:pPr>
      <w:r>
        <w:t>"Earn-Out EBITDA" means, with respect to the financial year ending</w:t>
      </w:r>
    </w:p>
    <w:p>
      <w:pPr>
        <w:jc w:val="left"/>
      </w:pPr>
      <w:r>
        <w:t>31 December 2027, the earnings before interest, taxes, depreciation</w:t>
      </w:r>
    </w:p>
    <w:p>
      <w:pPr>
        <w:jc w:val="left"/>
      </w:pPr>
      <w:r>
        <w:t>and amortisation of the Target Company, calculated in accordance with</w:t>
      </w:r>
    </w:p>
    <w:p>
      <w:pPr>
        <w:jc w:val="left"/>
      </w:pPr>
      <w:r>
        <w:t>the Target Company's accounting policies as applied consistently</w:t>
      </w:r>
    </w:p>
    <w:p>
      <w:pPr>
        <w:jc w:val="left"/>
      </w:pPr>
      <w:r>
        <w:t>with the Reference Accounts (31 December 2025), adjusted to exclude:</w:t>
      </w:r>
    </w:p>
    <w:p>
      <w:pPr>
        <w:jc w:val="left"/>
      </w:pPr>
      <w:r>
        <w:t>(a) any purchase price allocation adjustments (including amortisation of</w:t>
      </w:r>
    </w:p>
    <w:p>
      <w:pPr>
        <w:jc w:val="left"/>
      </w:pPr>
      <w:r>
        <w:t>identified intangibles arising from the acquisition contemplated herein);</w:t>
      </w:r>
    </w:p>
    <w:p>
      <w:pPr>
        <w:jc w:val="left"/>
      </w:pPr>
      <w:r>
        <w:t>(b) extraordinary and non-recurring items as set forth in Schedule 8-A</w:t>
      </w:r>
    </w:p>
    <w:p>
      <w:pPr>
        <w:jc w:val="left"/>
      </w:pPr>
      <w:r>
        <w:t>(Agreed Extraordinary Items);</w:t>
      </w:r>
    </w:p>
    <w:p>
      <w:pPr>
        <w:jc w:val="left"/>
      </w:pPr>
      <w:r>
        <w:t>(c) any management fees, service charges or other payments to Buyer</w:t>
      </w:r>
    </w:p>
    <w:p>
      <w:pPr>
        <w:jc w:val="left"/>
      </w:pPr>
      <w:r>
        <w:t>or any Affiliate of Buyer not in existence or not applicable to the</w:t>
      </w:r>
    </w:p>
    <w:p>
      <w:pPr>
        <w:jc w:val="left"/>
      </w:pPr>
      <w:r>
        <w:t>Target Company prior to Closing;</w:t>
      </w:r>
    </w:p>
    <w:p>
      <w:pPr>
        <w:jc w:val="left"/>
      </w:pPr>
      <w:r>
        <w:t>(d) any costs directly attributable to the acquisition contemplated herein</w:t>
      </w:r>
    </w:p>
    <w:p>
      <w:pPr>
        <w:jc w:val="left"/>
      </w:pPr>
      <w:r>
        <w:t>or to post-Closing integration measures initiated by Buyer;</w:t>
      </w:r>
    </w:p>
    <w:p>
      <w:pPr>
        <w:jc w:val="left"/>
      </w:pPr>
      <w:r>
        <w:t>but shall include the Erbbaurechtsrente payable under the Erbbaurechts-</w:t>
      </w:r>
    </w:p>
    <w:p>
      <w:pPr>
        <w:jc w:val="left"/>
      </w:pPr>
      <w:r>
        <w:t>vertrag (Ground Lease Agreement) dated [●], as this constitutes a regular</w:t>
      </w:r>
    </w:p>
    <w:p>
      <w:pPr>
        <w:jc w:val="left"/>
      </w:pPr>
      <w:r>
        <w:t>operating expense of the Target Company's business.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Streitbeilegungsmechanismus</w:t>
      </w:r>
    </w:p>
    <w:p>
      <w:pPr>
        <w:pStyle w:val="Heading3"/>
      </w:pPr>
      <w:r>
        <w:rPr>
          <w:rFonts w:ascii="Times New Roman" w:hAnsi="Times New Roman"/>
        </w:rPr>
        <w:t>Option A — Unabhängiger Wirtschaftsprüfer (Gutachterverfahren)</w:t>
      </w:r>
    </w:p>
    <w:p>
      <w:pPr>
        <w:jc w:val="left"/>
      </w:pPr>
      <w:r>
        <w:t>Wenn Parteien sich innerhalb von 30 Tagen nach Earn-Out-Statement nicht einigen, bestimmt PricewaterhouseCoopers GmbH WPG (oder eine andere Big-4-Kanzlei) als unabhängigen Gutachter. Entscheidung bindend. Kosten: 50/50 oder unterliegende Partei.</w:t>
      </w:r>
    </w:p>
    <w:p>
      <w:pPr>
        <w:jc w:val="left"/>
      </w:pPr>
      <w:r>
        <w:rPr>
          <w:b/>
        </w:rPr>
        <w:t>Empfehlung:</w:t>
      </w:r>
      <w:r>
        <w:t xml:space="preserve"> Diese Option. Schnell, kostengünstig, finaler.</w:t>
      </w:r>
    </w:p>
    <w:p>
      <w:pPr>
        <w:pStyle w:val="Heading3"/>
      </w:pPr>
      <w:r>
        <w:rPr>
          <w:rFonts w:ascii="Times New Roman" w:hAnsi="Times New Roman"/>
        </w:rPr>
        <w:t>Option B — Baseball-Arbitrage</w:t>
      </w:r>
    </w:p>
    <w:p>
      <w:pPr>
        <w:jc w:val="left"/>
      </w:pPr>
      <w:r>
        <w:t>Jede Partei legt ihre EBITDA-Zahl vor; Schiedsgericht wählt eine der beiden Zahlen. Fördert realistische Startgebote.</w:t>
      </w:r>
    </w:p>
    <w:p>
      <w:pPr>
        <w:jc w:val="left"/>
      </w:pPr>
      <w:r>
        <w:rPr>
          <w:b/>
        </w:rPr>
        <w:t>Bewertung:</w:t>
      </w:r>
      <w:r>
        <w:t xml:space="preserve"> Risiko: Schiedsgericht wählt Käufer-Zahl, auch wenn Verkäufer-Zahl nur leicht daneben. Weniger geeignet bei komplexen buchhalterischen Fragen.</w:t>
      </w:r>
    </w:p>
    <w:p/>
    <w:p>
      <w:pPr>
        <w:pStyle w:val="Heading2"/>
      </w:pPr>
      <w:r>
        <w:rPr>
          <w:rFonts w:ascii="Times New Roman" w:hAnsi="Times New Roman"/>
        </w:rPr>
        <w:t>Earn-Out-Rechenbeispiel (Illustration)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EBITDA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Earn-Out 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 EUR 3.600.000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3.600.000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583.333 (lineare Skalierung)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3.900.000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1.750.000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4.200.000 oder mehr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3.500.000 (Maximum)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