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Indemnification: Cap, Basket, De minimis, Survival</w:t>
      </w:r>
    </w:p>
    <w:p>
      <w:pPr>
        <w:jc w:val="left"/>
      </w:pPr>
      <w:r>
        <w:rPr>
          <w:b/>
        </w:rPr>
        <w:t>AZ:</w:t>
      </w:r>
      <w:r>
        <w:t xml:space="preserve"> MR-2026-DR-0717</w:t>
      </w:r>
    </w:p>
    <w:p>
      <w:pPr>
        <w:jc w:val="left"/>
      </w:pPr>
      <w:r>
        <w:rPr>
          <w:b/>
        </w:rPr>
        <w:t>Datum:</w:t>
      </w:r>
      <w:r>
        <w:t xml:space="preserve"> 30. Juli 2026</w:t>
      </w:r>
    </w:p>
    <w:p>
      <w:pPr>
        <w:jc w:val="left"/>
      </w:pPr>
      <w:r>
        <w:rPr>
          <w:b/>
        </w:rPr>
        <w:t>Bearbeiter:</w:t>
      </w:r>
      <w:r>
        <w:t xml:space="preserve"> Dr. (iur.) Mira Pohlmann</w:t>
      </w:r>
    </w:p>
    <w:p/>
    <w:p>
      <w:pPr>
        <w:pStyle w:val="Heading2"/>
      </w:pPr>
      <w:r>
        <w:rPr>
          <w:rFonts w:ascii="Times New Roman" w:hAnsi="Times New Roman"/>
        </w:rPr>
        <w:t>Strukturübersicht Indemnification</w:t>
      </w:r>
    </w:p>
    <w:p>
      <w:pPr>
        <w:jc w:val="left"/>
      </w:pPr>
      <w:r>
        <w:t>Die Indemnification-Klausel (Art. 6 SPA) regelt, unter welchen Bedingungen Verkäufer für Warranty-Verloetzungen oder gesonderte Indemnities haften. Zentrale Parameter: De minimis, Basket, Cap und Survival.</w:t>
      </w:r>
    </w:p>
    <w:p/>
    <w:p>
      <w:pPr>
        <w:pStyle w:val="Heading2"/>
      </w:pPr>
      <w:r>
        <w:rPr>
          <w:rFonts w:ascii="Times New Roman" w:hAnsi="Times New Roman"/>
        </w:rPr>
        <w:t>De minimis (Bagatellgrenze)</w:t>
      </w:r>
    </w:p>
    <w:p>
      <w:pPr>
        <w:jc w:val="left"/>
      </w:pPr>
      <w:r>
        <w:rPr>
          <w:b/>
        </w:rPr>
        <w:t>Zweck:</w:t>
      </w:r>
      <w:r>
        <w:t xml:space="preserve"> Verhindert, dass Käufer jede Bagatellforderung geltend macht.</w:t>
      </w:r>
    </w:p>
    <w:p>
      <w:pPr>
        <w:jc w:val="left"/>
      </w:pPr>
      <w:r>
        <w:rPr>
          <w:b/>
        </w:rPr>
        <w:t>Formel:</w:t>
      </w:r>
      <w:r>
        <w:t xml:space="preserve"> Einzelner Warranty-Anspruch unter dem De-minimis-Betrag wird nicht mitgezählt und ist nicht indemnifizierbar.</w:t>
      </w:r>
    </w:p>
    <w:p>
      <w:pPr>
        <w:jc w:val="left"/>
      </w:pPr>
      <w:r>
        <w:rPr>
          <w:b/>
        </w:rPr>
        <w:t>Verkaeuferposition:</w:t>
      </w:r>
      <w:r>
        <w:t xml:space="preserve"> De minimis EUR 75.000 pro Einzelanspruch.</w:t>
      </w:r>
    </w:p>
    <w:p>
      <w:pPr>
        <w:jc w:val="left"/>
      </w:pPr>
      <w:r>
        <w:rPr>
          <w:b/>
        </w:rPr>
        <w:t>Käuferposition:</w:t>
      </w:r>
      <w:r>
        <w:t xml:space="preserve"> De minimis EUR 20.000 per Einzelanspruch.</w:t>
      </w:r>
    </w:p>
    <w:p>
      <w:pPr>
        <w:jc w:val="left"/>
      </w:pPr>
      <w:r>
        <w:rPr>
          <w:b/>
        </w:rPr>
        <w:t>Marktstandard bei EUR 38 Mio. EV:</w:t>
      </w:r>
      <w:r>
        <w:t xml:space="preserve"> EUR 50.000-100.000.</w:t>
      </w:r>
    </w:p>
    <w:p>
      <w:pPr>
        <w:jc w:val="left"/>
      </w:pPr>
      <w:r>
        <w:rPr>
          <w:b/>
        </w:rPr>
        <w:t>Empfehlung:</w:t>
      </w:r>
      <w:r>
        <w:t xml:space="preserve"> EUR 60.000 als Kompromiss. Formulierung:</w:t>
      </w:r>
    </w:p>
    <w:p>
      <w:pPr>
        <w:jc w:val="left"/>
      </w:pPr>
      <w:r>
        <w:t>"No claim may be brought under this Agreement unless the amount of the Losses in respect of any single claim or series of related claims exceeds EUR 60,000 (the 'De Minimis Amount')."</w:t>
      </w:r>
    </w:p>
    <w:p/>
    <w:p>
      <w:pPr>
        <w:pStyle w:val="Heading2"/>
      </w:pPr>
      <w:r>
        <w:rPr>
          <w:rFonts w:ascii="Times New Roman" w:hAnsi="Times New Roman"/>
        </w:rPr>
        <w:t>Basket (Freigrenze / Deductible)</w:t>
      </w:r>
    </w:p>
    <w:p>
      <w:pPr>
        <w:jc w:val="left"/>
      </w:pPr>
      <w:r>
        <w:rPr>
          <w:b/>
        </w:rPr>
        <w:t>Optionen:</w:t>
      </w:r>
    </w:p>
    <w:p>
      <w:pPr>
        <w:pStyle w:val="ListBullet"/>
      </w:pPr>
      <w:r>
        <w:t>Deductible Basket (Excess-Only): Verkäufer haftet nur für Betrag, der Basket-Schwelle übersteigt. Bevorzugte Verkäufer-Struktur.</w:t>
      </w:r>
    </w:p>
    <w:p>
      <w:pPr>
        <w:pStyle w:val="ListBullet"/>
      </w:pPr>
      <w:r>
        <w:t>Tipping Basket: Sobald Gesamtansprüche Basket übersteigen, haftet Verkäufer ab erstem Euro. Bevorzugte Käufer-Struktur.</w:t>
      </w:r>
    </w:p>
    <w:p>
      <w:pPr>
        <w:jc w:val="left"/>
      </w:pPr>
      <w:r>
        <w:rPr>
          <w:b/>
        </w:rPr>
        <w:t>Verkaeuferposition:</w:t>
      </w:r>
      <w:r>
        <w:t xml:space="preserve"> Deductible / Excess-Only-Basket EUR 500.000 (ca. 1,3% EV).</w:t>
      </w:r>
    </w:p>
    <w:p>
      <w:pPr>
        <w:jc w:val="left"/>
      </w:pPr>
      <w:r>
        <w:rPr>
          <w:b/>
        </w:rPr>
        <w:t>Käuferposition:</w:t>
      </w:r>
      <w:r>
        <w:t xml:space="preserve"> Tipping Basket EUR 300.000.</w:t>
      </w:r>
    </w:p>
    <w:p>
      <w:pPr>
        <w:jc w:val="left"/>
      </w:pPr>
      <w:r>
        <w:rPr>
          <w:b/>
        </w:rPr>
        <w:t>Marktstandard bei EUR 38 Mio. EV:</w:t>
      </w:r>
      <w:r>
        <w:t xml:space="preserve"> 0,5-1,5% EV als Deductible.</w:t>
      </w:r>
    </w:p>
    <w:p>
      <w:pPr>
        <w:jc w:val="left"/>
      </w:pPr>
      <w:r>
        <w:rPr>
          <w:b/>
        </w:rPr>
        <w:t>Kompromiss:</w:t>
      </w:r>
      <w:r>
        <w:t xml:space="preserve"> Deductible Basket EUR 400.000. Formulierung:</w:t>
      </w:r>
    </w:p>
    <w:p>
      <w:pPr>
        <w:jc w:val="left"/>
      </w:pPr>
      <w:r>
        <w:t>"Seller shall only be liable for Losses under Article 6 to the extent that the aggregate Losses exceed EUR 400,000 (the 'Basket'), and then only in respect of the excess above the Basket."</w:t>
      </w:r>
    </w:p>
    <w:p/>
    <w:p>
      <w:pPr>
        <w:pStyle w:val="Heading2"/>
      </w:pPr>
      <w:r>
        <w:rPr>
          <w:rFonts w:ascii="Times New Roman" w:hAnsi="Times New Roman"/>
        </w:rPr>
        <w:t>Haftungshöchstbetrag (Cap)</w:t>
      </w:r>
    </w:p>
    <w:p>
      <w:pPr>
        <w:jc w:val="left"/>
      </w:pPr>
      <w:r>
        <w:rPr>
          <w:b/>
        </w:rPr>
        <w:t>Verkaeuferposition:</w:t>
      </w:r>
      <w:r>
        <w:t xml:space="preserve"> General Cap EUR 5.700.000 (15% EV); Tax Cap EUR 9.500.000 (25% EV, separater Cap).</w:t>
      </w:r>
    </w:p>
    <w:p>
      <w:pPr>
        <w:jc w:val="left"/>
      </w:pPr>
      <w:r>
        <w:rPr>
          <w:b/>
        </w:rPr>
        <w:t>Käuferposition:</w:t>
      </w:r>
      <w:r>
        <w:t xml:space="preserve"> General Cap EUR 9.500.000 (25% EV); kein separater Tax Cap — Tax-Indemnity unbegrenzt.</w:t>
      </w:r>
    </w:p>
    <w:p>
      <w:pPr>
        <w:jc w:val="left"/>
      </w:pPr>
      <w:r>
        <w:rPr>
          <w:b/>
        </w:rPr>
        <w:t>Marktstandard:</w:t>
      </w:r>
      <w:r>
        <w:t xml:space="preserve"> General Cap 15-25% EV; Tax Cap 50-100% EV oder separater Betrag.</w:t>
      </w:r>
    </w:p>
    <w:p>
      <w:pPr>
        <w:jc w:val="left"/>
      </w:pPr>
      <w:r>
        <w:rPr>
          <w:b/>
        </w:rPr>
        <w:t>Empfehlung: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Kategorie</w:t>
            </w:r>
          </w:p>
        </w:tc>
        <w:tc>
          <w:tcPr>
            <w:tcW w:type="dxa" w:w="4536"/>
          </w:tcPr>
          <w:p>
            <w:r>
              <w:rPr>
                <w:rFonts w:ascii="Times New Roman" w:hAnsi="Times New Roman"/>
                <w:b/>
                <w:sz w:val="20"/>
              </w:rPr>
              <w:t>Cap (Empfehlung)</w:t>
            </w:r>
          </w:p>
        </w:tc>
      </w:tr>
      <w:tr>
        <w:tc>
          <w:tcPr>
            <w:tcW w:type="dxa" w:w="4536"/>
          </w:tcPr>
          <w:p>
            <w:r>
              <w:rPr>
                <w:rFonts w:ascii="Times New Roman" w:hAnsi="Times New Roman"/>
                <w:sz w:val="20"/>
              </w:rPr>
              <w:t>General Warranties</w:t>
            </w:r>
          </w:p>
        </w:tc>
        <w:tc>
          <w:tcPr>
            <w:tcW w:type="dxa" w:w="4536"/>
          </w:tcPr>
          <w:p>
            <w:r>
              <w:rPr>
                <w:rFonts w:ascii="Times New Roman" w:hAnsi="Times New Roman"/>
                <w:sz w:val="20"/>
              </w:rPr>
              <w:t>EUR 6.500.000 (ca. 17% EV)</w:t>
            </w:r>
          </w:p>
        </w:tc>
      </w:tr>
      <w:tr>
        <w:tc>
          <w:tcPr>
            <w:tcW w:type="dxa" w:w="4536"/>
          </w:tcPr>
          <w:p>
            <w:r>
              <w:rPr>
                <w:rFonts w:ascii="Times New Roman" w:hAnsi="Times New Roman"/>
                <w:sz w:val="20"/>
              </w:rPr>
              <w:t>Tax Warranties / Tax Indemnity</w:t>
            </w:r>
          </w:p>
        </w:tc>
        <w:tc>
          <w:tcPr>
            <w:tcW w:type="dxa" w:w="4536"/>
          </w:tcPr>
          <w:p>
            <w:r>
              <w:rPr>
                <w:rFonts w:ascii="Times New Roman" w:hAnsi="Times New Roman"/>
                <w:sz w:val="20"/>
              </w:rPr>
              <w:t>EUR 10.000.000 (separater Cap)</w:t>
            </w:r>
          </w:p>
        </w:tc>
      </w:tr>
      <w:tr>
        <w:tc>
          <w:tcPr>
            <w:tcW w:type="dxa" w:w="4536"/>
          </w:tcPr>
          <w:p>
            <w:r>
              <w:rPr>
                <w:rFonts w:ascii="Times New Roman" w:hAnsi="Times New Roman"/>
                <w:sz w:val="20"/>
              </w:rPr>
              <w:t>Fundamental Warranties</w:t>
            </w:r>
          </w:p>
        </w:tc>
        <w:tc>
          <w:tcPr>
            <w:tcW w:type="dxa" w:w="4536"/>
          </w:tcPr>
          <w:p>
            <w:r>
              <w:rPr>
                <w:rFonts w:ascii="Times New Roman" w:hAnsi="Times New Roman"/>
                <w:sz w:val="20"/>
              </w:rPr>
              <w:t>EUR 38.000.000 (Kaufpreis — absoluter Max.)</w:t>
            </w:r>
          </w:p>
        </w:tc>
      </w:tr>
      <w:tr>
        <w:tc>
          <w:tcPr>
            <w:tcW w:type="dxa" w:w="4536"/>
          </w:tcPr>
          <w:p>
            <w:r>
              <w:rPr>
                <w:rFonts w:ascii="Times New Roman" w:hAnsi="Times New Roman"/>
                <w:sz w:val="20"/>
              </w:rPr>
              <w:t>Fraud / arglistige Täuschung</w:t>
            </w:r>
          </w:p>
        </w:tc>
        <w:tc>
          <w:tcPr>
            <w:tcW w:type="dxa" w:w="4536"/>
          </w:tcPr>
          <w:p>
            <w:r>
              <w:rPr>
                <w:rFonts w:ascii="Times New Roman" w:hAnsi="Times New Roman"/>
                <w:sz w:val="20"/>
              </w:rPr>
              <w:t>Unbeschränkt</w:t>
            </w:r>
          </w:p>
        </w:tc>
      </w:tr>
    </w:tbl>
    <w:p>
      <w:pPr>
        <w:jc w:val="left"/>
      </w:pPr>
      <w:r>
        <w:t>Fundamental Warranties (Existence, Title, Authority, No Encumbrances) sind typischerweise uncapped oder auf Kaufpreishöhe gedeckelt.</w:t>
      </w:r>
    </w:p>
    <w:p/>
    <w:p>
      <w:pPr>
        <w:pStyle w:val="Heading2"/>
      </w:pPr>
      <w:r>
        <w:rPr>
          <w:rFonts w:ascii="Times New Roman" w:hAnsi="Times New Roman"/>
        </w:rPr>
        <w:t>Carve-outs vom Cap</w:t>
      </w:r>
    </w:p>
    <w:p>
      <w:pPr>
        <w:jc w:val="left"/>
      </w:pPr>
      <w:r>
        <w:t>Folgende Ansprüche sollen vom allgemeinen Cap ausgenommen sein:</w:t>
      </w:r>
    </w:p>
    <w:p>
      <w:pPr>
        <w:pStyle w:val="ListNumber"/>
      </w:pPr>
      <w:r>
        <w:t>Ansprüche wegen arglistiger Täuschung oder vorsätzlicher Falschangaben</w:t>
      </w:r>
    </w:p>
    <w:p>
      <w:pPr>
        <w:pStyle w:val="ListNumber"/>
      </w:pPr>
      <w:r>
        <w:t>Ansprüche aus Fundamental Warranties (Cap = Kaufpreis)</w:t>
      </w:r>
    </w:p>
    <w:p>
      <w:pPr>
        <w:pStyle w:val="ListNumber"/>
      </w:pPr>
      <w:r>
        <w:t>Ansprüche aus Tax Indemnity (eigener Tax Cap)</w:t>
      </w:r>
    </w:p>
    <w:p>
      <w:pPr>
        <w:pStyle w:val="ListNumber"/>
      </w:pPr>
      <w:r>
        <w:t>Ansprüche aus gesonderten Freistellungen (Indemnities), z.B. bekannte Umweltbelastungen Grundstueck</w:t>
      </w:r>
    </w:p>
    <w:p/>
    <w:p>
      <w:pPr>
        <w:pStyle w:val="Heading2"/>
      </w:pPr>
      <w:r>
        <w:rPr>
          <w:rFonts w:ascii="Times New Roman" w:hAnsi="Times New Roman"/>
        </w:rPr>
        <w:t>Survival Period (Verjährung)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Warranty-Kategorie</w:t>
            </w:r>
          </w:p>
        </w:tc>
        <w:tc>
          <w:tcPr>
            <w:tcW w:type="dxa" w:w="3024"/>
          </w:tcPr>
          <w:p>
            <w:r>
              <w:rPr>
                <w:rFonts w:ascii="Times New Roman" w:hAnsi="Times New Roman"/>
                <w:b/>
                <w:sz w:val="20"/>
              </w:rPr>
              <w:t>Survival</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General Warranties</w:t>
            </w:r>
          </w:p>
        </w:tc>
        <w:tc>
          <w:tcPr>
            <w:tcW w:type="dxa" w:w="3024"/>
          </w:tcPr>
          <w:p>
            <w:r>
              <w:rPr>
                <w:rFonts w:ascii="Times New Roman" w:hAnsi="Times New Roman"/>
                <w:sz w:val="20"/>
              </w:rPr>
              <w:t>3 Jahre ab Closing</w:t>
            </w:r>
          </w:p>
        </w:tc>
        <w:tc>
          <w:tcPr>
            <w:tcW w:type="dxa" w:w="3024"/>
          </w:tcPr>
          <w:p>
            <w:r>
              <w:rPr>
                <w:rFonts w:ascii="Times New Roman" w:hAnsi="Times New Roman"/>
                <w:sz w:val="20"/>
              </w:rPr>
              <w:t>Kompromiss (V: 2J, K: 5J)</w:t>
            </w:r>
          </w:p>
        </w:tc>
      </w:tr>
      <w:tr>
        <w:tc>
          <w:tcPr>
            <w:tcW w:type="dxa" w:w="3024"/>
          </w:tcPr>
          <w:p>
            <w:r>
              <w:rPr>
                <w:rFonts w:ascii="Times New Roman" w:hAnsi="Times New Roman"/>
                <w:sz w:val="20"/>
              </w:rPr>
              <w:t>Tax Warranties</w:t>
            </w:r>
          </w:p>
        </w:tc>
        <w:tc>
          <w:tcPr>
            <w:tcW w:type="dxa" w:w="3024"/>
          </w:tcPr>
          <w:p>
            <w:r>
              <w:rPr>
                <w:rFonts w:ascii="Times New Roman" w:hAnsi="Times New Roman"/>
                <w:sz w:val="20"/>
              </w:rPr>
              <w:t>7 Jahre ab Closing</w:t>
            </w:r>
          </w:p>
        </w:tc>
        <w:tc>
          <w:tcPr>
            <w:tcW w:type="dxa" w:w="3024"/>
          </w:tcPr>
          <w:p>
            <w:r>
              <w:rPr>
                <w:rFonts w:ascii="Times New Roman" w:hAnsi="Times New Roman"/>
                <w:sz w:val="20"/>
              </w:rPr>
              <w:t>Entspricht steuerlicher Verjährung § 169 AO</w:t>
            </w:r>
          </w:p>
        </w:tc>
      </w:tr>
      <w:tr>
        <w:tc>
          <w:tcPr>
            <w:tcW w:type="dxa" w:w="3024"/>
          </w:tcPr>
          <w:p>
            <w:r>
              <w:rPr>
                <w:rFonts w:ascii="Times New Roman" w:hAnsi="Times New Roman"/>
                <w:sz w:val="20"/>
              </w:rPr>
              <w:t>Fundamental Warranties</w:t>
            </w:r>
          </w:p>
        </w:tc>
        <w:tc>
          <w:tcPr>
            <w:tcW w:type="dxa" w:w="3024"/>
          </w:tcPr>
          <w:p>
            <w:r>
              <w:rPr>
                <w:rFonts w:ascii="Times New Roman" w:hAnsi="Times New Roman"/>
                <w:sz w:val="20"/>
              </w:rPr>
              <w:t>10 Jahre ab Closing</w:t>
            </w:r>
          </w:p>
        </w:tc>
        <w:tc>
          <w:tcPr>
            <w:tcW w:type="dxa" w:w="3024"/>
          </w:tcPr>
          <w:p>
            <w:r>
              <w:rPr>
                <w:rFonts w:ascii="Times New Roman" w:hAnsi="Times New Roman"/>
                <w:sz w:val="20"/>
              </w:rPr>
              <w:t>Entspricht § 195, 199 BGB (deliktische Verjährung)</w:t>
            </w:r>
          </w:p>
        </w:tc>
      </w:tr>
      <w:tr>
        <w:tc>
          <w:tcPr>
            <w:tcW w:type="dxa" w:w="3024"/>
          </w:tcPr>
          <w:p>
            <w:r>
              <w:rPr>
                <w:rFonts w:ascii="Times New Roman" w:hAnsi="Times New Roman"/>
                <w:sz w:val="20"/>
              </w:rPr>
              <w:t>Environmental Indemnities</w:t>
            </w:r>
          </w:p>
        </w:tc>
        <w:tc>
          <w:tcPr>
            <w:tcW w:type="dxa" w:w="3024"/>
          </w:tcPr>
          <w:p>
            <w:r>
              <w:rPr>
                <w:rFonts w:ascii="Times New Roman" w:hAnsi="Times New Roman"/>
                <w:sz w:val="20"/>
              </w:rPr>
              <w:t>5 Jahre ab Closing</w:t>
            </w:r>
          </w:p>
        </w:tc>
        <w:tc>
          <w:tcPr>
            <w:tcW w:type="dxa" w:w="3024"/>
          </w:tcPr>
          <w:p>
            <w:r>
              <w:rPr>
                <w:rFonts w:ascii="Times New Roman" w:hAnsi="Times New Roman"/>
                <w:sz w:val="20"/>
              </w:rPr>
              <w:t>Naturschutzrecht-Erfahrungswert</w:t>
            </w:r>
          </w:p>
        </w:tc>
      </w:tr>
      <w:tr>
        <w:tc>
          <w:tcPr>
            <w:tcW w:type="dxa" w:w="3024"/>
          </w:tcPr>
          <w:p>
            <w:r>
              <w:rPr>
                <w:rFonts w:ascii="Times New Roman" w:hAnsi="Times New Roman"/>
                <w:sz w:val="20"/>
              </w:rPr>
              <w:t>Fraud</w:t>
            </w:r>
          </w:p>
        </w:tc>
        <w:tc>
          <w:tcPr>
            <w:tcW w:type="dxa" w:w="3024"/>
          </w:tcPr>
          <w:p>
            <w:r>
              <w:rPr>
                <w:rFonts w:ascii="Times New Roman" w:hAnsi="Times New Roman"/>
                <w:sz w:val="20"/>
              </w:rPr>
              <w:t>Gesetzliche Verjährung</w:t>
            </w:r>
          </w:p>
        </w:tc>
        <w:tc>
          <w:tcPr>
            <w:tcW w:type="dxa" w:w="3024"/>
          </w:tcPr>
          <w:p>
            <w:r>
              <w:rPr>
                <w:rFonts w:ascii="Times New Roman" w:hAnsi="Times New Roman"/>
                <w:sz w:val="20"/>
              </w:rPr>
              <w:t>Unverjaeahrbar (Vorsatz)</w:t>
            </w:r>
          </w:p>
        </w:tc>
      </w:tr>
    </w:tbl>
    <w:p/>
    <w:p>
      <w:pPr>
        <w:pStyle w:val="Heading2"/>
      </w:pPr>
      <w:r>
        <w:rPr>
          <w:rFonts w:ascii="Times New Roman" w:hAnsi="Times New Roman"/>
        </w:rPr>
        <w:t>Warranty &amp; Indemnity Insurance (W&amp;I)</w:t>
      </w:r>
    </w:p>
    <w:p>
      <w:pPr>
        <w:jc w:val="left"/>
      </w:pPr>
      <w:r>
        <w:t>Mandantin hat anfragen lassen: Premiumindikation W&amp;I-Versicherung von Swiss Re Corporate Solutions und AIG liegt vor.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Versicherungssumme (Limit)</w:t>
            </w:r>
          </w:p>
        </w:tc>
        <w:tc>
          <w:tcPr>
            <w:tcW w:type="dxa" w:w="4536"/>
          </w:tcPr>
          <w:p>
            <w:r>
              <w:rPr>
                <w:rFonts w:ascii="Times New Roman" w:hAnsi="Times New Roman"/>
                <w:sz w:val="20"/>
              </w:rPr>
              <w:t>EUR 9.500.000</w:t>
            </w:r>
          </w:p>
        </w:tc>
      </w:tr>
      <w:tr>
        <w:tc>
          <w:tcPr>
            <w:tcW w:type="dxa" w:w="4536"/>
          </w:tcPr>
          <w:p>
            <w:r>
              <w:rPr>
                <w:rFonts w:ascii="Times New Roman" w:hAnsi="Times New Roman"/>
                <w:sz w:val="20"/>
              </w:rPr>
              <w:t>Prämie (Einmalbetrag)</w:t>
            </w:r>
          </w:p>
        </w:tc>
        <w:tc>
          <w:tcPr>
            <w:tcW w:type="dxa" w:w="4536"/>
          </w:tcPr>
          <w:p>
            <w:r>
              <w:rPr>
                <w:rFonts w:ascii="Times New Roman" w:hAnsi="Times New Roman"/>
                <w:sz w:val="20"/>
              </w:rPr>
              <w:t>ca. EUR 285.000 (3% Limit)</w:t>
            </w:r>
          </w:p>
        </w:tc>
      </w:tr>
      <w:tr>
        <w:tc>
          <w:tcPr>
            <w:tcW w:type="dxa" w:w="4536"/>
          </w:tcPr>
          <w:p>
            <w:r>
              <w:rPr>
                <w:rFonts w:ascii="Times New Roman" w:hAnsi="Times New Roman"/>
                <w:sz w:val="20"/>
              </w:rPr>
              <w:t>Retention (Selbstbehalt)</w:t>
            </w:r>
          </w:p>
        </w:tc>
        <w:tc>
          <w:tcPr>
            <w:tcW w:type="dxa" w:w="4536"/>
          </w:tcPr>
          <w:p>
            <w:r>
              <w:rPr>
                <w:rFonts w:ascii="Times New Roman" w:hAnsi="Times New Roman"/>
                <w:sz w:val="20"/>
              </w:rPr>
              <w:t>EUR 760.000 (8% Limit)</w:t>
            </w:r>
          </w:p>
        </w:tc>
      </w:tr>
      <w:tr>
        <w:tc>
          <w:tcPr>
            <w:tcW w:type="dxa" w:w="4536"/>
          </w:tcPr>
          <w:p>
            <w:r>
              <w:rPr>
                <w:rFonts w:ascii="Times New Roman" w:hAnsi="Times New Roman"/>
                <w:sz w:val="20"/>
              </w:rPr>
              <w:t>Laufzeit</w:t>
            </w:r>
          </w:p>
        </w:tc>
        <w:tc>
          <w:tcPr>
            <w:tcW w:type="dxa" w:w="4536"/>
          </w:tcPr>
          <w:p>
            <w:r>
              <w:rPr>
                <w:rFonts w:ascii="Times New Roman" w:hAnsi="Times New Roman"/>
                <w:sz w:val="20"/>
              </w:rPr>
              <w:t>7 Jahre (Tax), 3 Jahre (General)</w:t>
            </w:r>
          </w:p>
        </w:tc>
      </w:tr>
    </w:tbl>
    <w:p>
      <w:pPr>
        <w:jc w:val="left"/>
      </w:pPr>
      <w:r>
        <w:rPr>
          <w:b/>
        </w:rPr>
        <w:t>Empfehlung:</w:t>
      </w:r>
      <w:r>
        <w:t xml:space="preserve"> W&amp;I-Police abschliessen; Käufer als Versicherungsnehmer (Buy-Side Policy). Erhöhung General Cap auf EUR 9.500.000 möglich, wenn durch W&amp;I-Police gedeckt — Verkäufer de facto nur bis Basket exponiert.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