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Word-Finish-Checkliste: SPA vor Übermittlung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10. Oktober 2026</w:t>
      </w:r>
    </w:p>
    <w:p>
      <w:pPr>
        <w:jc w:val="left"/>
      </w:pPr>
      <w:r>
        <w:rPr>
          <w:b/>
        </w:rPr>
        <w:t>Bearbeiter:</w:t>
      </w:r>
      <w:r>
        <w:t xml:space="preserve"> Senior Associate Dr. (iur.) Mira Pohlmann</w:t>
      </w:r>
    </w:p>
    <w:p>
      <w:pPr>
        <w:jc w:val="left"/>
      </w:pPr>
      <w:r>
        <w:rPr>
          <w:b/>
        </w:rPr>
        <w:t>Anwendung:</w:t>
      </w:r>
      <w:r>
        <w:t xml:space="preserve"> SPA Final / Draft 4 (spa-draft-4-final.docx)</w:t>
      </w:r>
    </w:p>
    <w:p/>
    <w:p>
      <w:pPr>
        <w:pStyle w:val="Heading2"/>
      </w:pPr>
      <w:r>
        <w:rPr>
          <w:rFonts w:ascii="Times New Roman" w:hAnsi="Times New Roman"/>
        </w:rPr>
        <w:t>Zweck der Checkliste</w:t>
      </w:r>
    </w:p>
    <w:p>
      <w:pPr>
        <w:jc w:val="left"/>
      </w:pPr>
      <w:r>
        <w:t>Vor jeder formalen Übermittlung eines SPA-Entwurfs an die Gegenseite, an den Notar oder an Mandanten ist eine systematische Word-Finish-Pruefung durchzuführen. Diese Checkliste orientiert sich am Kanzleistil Roosendaal Birkenhainer Partners mbB.</w:t>
      </w:r>
    </w:p>
    <w:p/>
    <w:p>
      <w:pPr>
        <w:pStyle w:val="Heading2"/>
      </w:pPr>
      <w:r>
        <w:rPr>
          <w:rFonts w:ascii="Times New Roman" w:hAnsi="Times New Roman"/>
        </w:rPr>
        <w:t>A — Formatierung und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Geprüft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Seitenränder (2,5 cm oben/unten, 3 cm links, 2,5 cm rechts)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Schriftart: Times New Roman 12pt (Haupttext), 11pt (Fussnoten)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Zeilenabstand: 1,5-fach (Haupttext), 1-fach (Fussnoten)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Seitenzahlen: zentriert unten, Arabisch ab Seite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Kopfzeile: "VERTRAULICH — ENTWURF OHNE PRÄJUDIZ" rechtsbündig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Deckblatt aktuell (Datum, Parteien, Versionsnummer)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Inhaltsverzeichnis aktualisiert (automatisches Inhaltsverzeichnis aktualisieren)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Überschriften-Nummerierung konsistent (1, 1.1, 1.1.1)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B — Defined Terms und Querverweise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Geprüft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Defined Terms bei erster Erwähnung gross und in Anführungszeichen gesetzt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Defined Terms-Tabelle (Art. 1) vollständig und alphabetisch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Jeder Defined Term nur einmal definiert (kein Doppelten)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Querverweise auf Artikel/Klauseln korrekt (z.B. "gemäß Art. 6.2(b)")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Cross-References in Word aktualisieren: Strg+A, dann F9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Offene Klammerstellen "[●]" vollständig befüllt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Datumsangaben korrekt und konsistent (TT.MM.JJJJ)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C — Inhaltliche Konsistenz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Geprüft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Kaufpreis-Betrag konsistent in allen Klauseln (Zahl + Wort)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Parteienbezeichnungen konsistent (immer "Verkäufer" / "Käufer", nie abwechselnd "Veraeusserer")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SPV-Bezeichnung konsistent ("Volkenrath Solar Eppendorf GmbH" / "Zielgesellschaft")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Anlagen-Verweise stimmen mit tatsächlichen Anlagen überein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Disclosure Schedule-Nummern stimmen mit Warranty-Nummern überein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D — Redaktionelle Qualitätssicherung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Geprüft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Rechtschreibprüfung Word (Sprache: Deutsch — Deutschland)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Suchfunktion nach offenen Arbeitsmarkern wie "TBC", "DRAFT", "[Datum]", "[Name]", "[●]"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Suchfunktion nach doppelten Leerzeichen (Suche "  " mit zwei Leerzeichen)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Suchfunktion nach englischen Anführungszeichen (" ") — ersetzen durch deutsche (,,")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Fussnoten vollständig und korrekt nummeriert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Track-Changes sichtbar (alle akzeptiert oder abgelehnt)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Kommentare im Dokument (alle gelöscht oder archiviert)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E —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Geprüft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Anlagen numeriert (Anlage 1 bis Anlage 9)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Anlagenverzeichnis am Ende des SPA 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Jede Anlage mit Deckblatt (Anlagenbezeichnung, Versionsdatum)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Disclosure Schedules: Anlage 6-1 bis 6-47 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Notartermin: Reinschrift für Beurkundung separat aus Word exportiert (keine markierten Änderungen)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F — Metadaten und Dateiname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Geprüft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Dateiname: "SPA_Volkenrath_Solar_Eppendorf_Draft_4_ROOSENDAAL_20261010.docx"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Word-Metadaten geleert (Datei &gt; Informationen &gt; Dokument prüfe &gt; Personenbezogene Daten entfernen)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Autor-Feld bereinigt (kein persönlicher Nutzername)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Datei auf Viren geprüft vor Übermittlung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Durchsicht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(iur.) Mira Pohlmann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Inhaltliche Freigabe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Henrik Roosendaal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Finale Übermittlung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Kanzleisekretariat</w:t>
            </w:r>
          </w:p>
        </w:tc>
        <w:tc>
          <w:tcPr>
            <w:tcW w:type="dxa" w:w="3024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