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Redline-Workflow: Word Track Changes mit Gegenseite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20. August 2026</w:t>
      </w:r>
    </w:p>
    <w:p>
      <w:pPr>
        <w:jc w:val="left"/>
      </w:pPr>
      <w:r>
        <w:rPr>
          <w:b/>
        </w:rPr>
        <w:t>Bearbeiter:</w:t>
      </w:r>
      <w:r>
        <w:t xml:space="preserve"> Senior Associate Dr. (iur.) Mira Pohlmann</w:t>
      </w:r>
    </w:p>
    <w:p/>
    <w:p>
      <w:pPr>
        <w:pStyle w:val="Heading2"/>
      </w:pPr>
      <w:r>
        <w:rPr>
          <w:rFonts w:ascii="Times New Roman" w:hAnsi="Times New Roman"/>
        </w:rPr>
        <w:t>Workflow-Beschreibung</w:t>
      </w:r>
    </w:p>
    <w:p>
      <w:pPr>
        <w:jc w:val="left"/>
      </w:pPr>
      <w:r>
        <w:t>Der Redline-Workflow zwischen Roosendaal Birkenhainer Partners mbB und Schäfer Schoeneberg Stoll mbB läuft ausschliesslich über Microsoft Word mit der eingebauten Track-Changes-Funktion (Änderungen verfolgen). Dieses Aktenstück beschreibt das vereinbarte Protokoll und hält Probleme aus dem Redline-Austausch zu SPA v3 vs. v4 fest.</w:t>
      </w:r>
    </w:p>
    <w:p/>
    <w:p>
      <w:pPr>
        <w:pStyle w:val="Heading2"/>
      </w:pPr>
      <w:r>
        <w:rPr>
          <w:rFonts w:ascii="Times New Roman" w:hAnsi="Times New Roman"/>
        </w:rPr>
        <w:t>Vereinbartes Protokoll (Redline Protocol)</w:t>
      </w:r>
    </w:p>
    <w:p>
      <w:pPr>
        <w:pStyle w:val="Heading3"/>
      </w:pPr>
      <w:r>
        <w:rPr>
          <w:rFonts w:ascii="Times New Roman" w:hAnsi="Times New Roman"/>
        </w:rPr>
        <w:t>Grundregeln (vereinbart per E-Mail vom 08.08.2026)</w:t>
      </w:r>
    </w:p>
    <w:p>
      <w:pPr>
        <w:pStyle w:val="ListNumber"/>
      </w:pPr>
      <w:r>
        <w:rPr>
          <w:b/>
        </w:rPr>
        <w:t>Dateiformat:</w:t>
      </w:r>
      <w:r>
        <w:t xml:space="preserve"> Ausschliesslich .docx (kein PDF, kein RTF). Kein Passwortschutz.</w:t>
      </w:r>
    </w:p>
    <w:p>
      <w:pPr>
        <w:pStyle w:val="ListNumber"/>
      </w:pPr>
      <w:r>
        <w:rPr>
          <w:b/>
        </w:rPr>
        <w:t>Track Changes:</w:t>
      </w:r>
      <w:r>
        <w:t xml:space="preserve"> Alle Änderungen als nachverfolgte Änderungen (Strg+Umschalt+E); keine direkte Textänderung ohne Markierung.</w:t>
      </w:r>
    </w:p>
    <w:p>
      <w:pPr>
        <w:pStyle w:val="ListNumber"/>
      </w:pPr>
      <w:r>
        <w:rPr>
          <w:b/>
        </w:rPr>
        <w:t>Kommentare:</w:t>
      </w:r>
      <w:r>
        <w:t xml:space="preserve"> Offene Punkte als Word-Kommentar (Einfügen &gt; Kommentar); Format: "[Partei — Datum] Kommentartext"</w:t>
      </w:r>
    </w:p>
    <w:p>
      <w:pPr>
        <w:pStyle w:val="ListNumber"/>
      </w:pPr>
      <w:r>
        <w:rPr>
          <w:b/>
        </w:rPr>
        <w:t>Farben:</w:t>
      </w:r>
      <w:r>
        <w:t xml:space="preserve"> Roosendaal Birkenhainer = Blau; Schäfer Schoeneberg = Rot (automatische Zuweisung per Nutzer-Account, Anweisung an Kanzleipersonal: immer unter dem eigenen Kanzlei-Windows-Login arbeiten)</w:t>
      </w:r>
    </w:p>
    <w:p>
      <w:pPr>
        <w:pStyle w:val="ListNumber"/>
      </w:pPr>
      <w:r>
        <w:rPr>
          <w:b/>
        </w:rPr>
        <w:t>Dateiname-Konvention:</w:t>
      </w:r>
      <w:r>
        <w:t xml:space="preserve"> SPA_Volkenrath_[Version]_[Kürzel-Einsender]_[Datum].docx — Beispiel: SPA_Volkenrath_v3_SSS_20260908.docx</w:t>
      </w:r>
    </w:p>
    <w:p>
      <w:pPr>
        <w:pStyle w:val="ListNumber"/>
      </w:pPr>
      <w:r>
        <w:rPr>
          <w:b/>
        </w:rPr>
        <w:t>Übermittlung:</w:t>
      </w:r>
      <w:r>
        <w:t xml:space="preserve"> Verschlüsselt per E-Mail oder über gesicherten Datentransfer-Link; kein Versand über persönliche E-Mail-Accounts</w:t>
      </w:r>
    </w:p>
    <w:p>
      <w:pPr>
        <w:pStyle w:val="ListNumber"/>
      </w:pPr>
      <w:r>
        <w:rPr>
          <w:b/>
        </w:rPr>
        <w:t>Acceptance Protocol vor Rückversand:</w:t>
      </w:r>
      <w:r>
        <w:t xml:space="preserve"> Niemals Track Changes akzeptieren, bevor nicht vollständiger interner Review abgeschlossen; Antwortversion behält alle fremden Track Changes als sichtbare Änderungen</w:t>
      </w:r>
    </w:p>
    <w:p/>
    <w:p>
      <w:pPr>
        <w:pStyle w:val="Heading2"/>
      </w:pPr>
      <w:r>
        <w:rPr>
          <w:rFonts w:ascii="Times New Roman" w:hAnsi="Times New Roman"/>
        </w:rPr>
        <w:t>Typische Fehler und deren Vermeidung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Fehler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Folge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Vermeidung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Track Changes versehentlich akzeptiert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des Redlines; unklar welche Positionen verändert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Immer Kopie des Eingangs-Redlines archivieren bevor 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Falscher Nutzer-Account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Änderungen in falscher Farbe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Nutzer-Account vor Bearbeitung prüfen (Word &gt; Optionen &gt; Benutzerinfo)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Kommentare einer Partei gelöscht statt beantwortet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Informationsverlust; Gegenseite merkt nicht, dass Kommentar adressiert wurde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Kommentare nur per "Antworten"-Funktion schliessen, nie löschen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Direkte Textänderung ohne Track Change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"Stealth Edit" — kann als Vertrauensbruch gewertet werden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Track Changes immer aktiviert lassen während Drafting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Metadaten nicht entfernt bei Abgabe an Notar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sieht interne Diskussion und Kommentare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Notarfassung: Track Changes akzeptieren, Kommentare löschen, Metadaten bereinigen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Redline v3 vs. v4: Besondere Probleme</w:t>
      </w:r>
    </w:p>
    <w:p>
      <w:pPr>
        <w:pStyle w:val="Heading3"/>
      </w:pPr>
      <w:r>
        <w:rPr>
          <w:rFonts w:ascii="Times New Roman" w:hAnsi="Times New Roman"/>
        </w:rPr>
        <w:t>Problem 1 — "Ghosted" Track Changes</w:t>
      </w:r>
    </w:p>
    <w:p>
      <w:pPr>
        <w:jc w:val="left"/>
      </w:pPr>
      <w:r>
        <w:t>In SPA v3 (Roosendaal-Fassung) fanden sich nach Versand an Gegenseite Track-Changes-Markierungen aus einer alten Version (SPA v1 internem Entwurf), die durch fehlerhaftes Dokument-Zusammenführen wieder auftauchten.</w:t>
      </w:r>
    </w:p>
    <w:p>
      <w:pPr>
        <w:jc w:val="left"/>
      </w:pPr>
      <w:r>
        <w:rPr>
          <w:b/>
        </w:rPr>
        <w:t>Folge:</w:t>
      </w:r>
      <w:r>
        <w:t xml:space="preserve"> Schäfer Schoeneberg Stoll sah interne Kommentare der Verkaeuferkanzlei aus der Frühphase (u.a. interne Bewertung zum Knowledge Qualifier).</w:t>
      </w:r>
    </w:p>
    <w:p>
      <w:pPr>
        <w:jc w:val="left"/>
      </w:pPr>
      <w:r>
        <w:rPr>
          <w:b/>
        </w:rPr>
        <w:t>Lehre:</w:t>
      </w:r>
      <w:r>
        <w:t xml:space="preserve"> Vor externem Versand immer: Strg+A, dann alle Markierungen prüfen via "Alle Änderungen anzeigen" — oder Dokument frisch aus clean version erstellen.</w:t>
      </w:r>
    </w:p>
    <w:p>
      <w:pPr>
        <w:pStyle w:val="Heading3"/>
      </w:pPr>
      <w:r>
        <w:rPr>
          <w:rFonts w:ascii="Times New Roman" w:hAnsi="Times New Roman"/>
        </w:rPr>
        <w:t>Problem 2 — Kollidierender Tracked Text in Tabellen</w:t>
      </w:r>
    </w:p>
    <w:p>
      <w:pPr>
        <w:jc w:val="left"/>
      </w:pPr>
      <w:r>
        <w:t>In Art. 6-Tabelle (Indemnification-Übersicht) kollidierten Track-Changes-Formatierungen in Tabellenzellen, sodass Text unleserlich wurde (Word-Bug mit Tabellen und eingeschalteten Revisionsmarkierungen).</w:t>
      </w:r>
    </w:p>
    <w:p>
      <w:pPr>
        <w:jc w:val="left"/>
      </w:pPr>
      <w:r>
        <w:rPr>
          <w:b/>
        </w:rPr>
        <w:t>Lösung:</w:t>
      </w:r>
      <w:r>
        <w:t xml:space="preserve"> Tabellen in Redlines als Screenshot einbetten (Bild, nicht editierbares Objekt); daneben leere Kommentar-Zelle für Klärungen.</w:t>
      </w:r>
    </w:p>
    <w:p/>
    <w:p>
      <w:pPr>
        <w:pStyle w:val="Heading2"/>
      </w:pPr>
      <w:r>
        <w:rPr>
          <w:rFonts w:ascii="Times New Roman" w:hAnsi="Times New Roman"/>
        </w:rPr>
        <w:t>Archivierungsregeln</w:t>
      </w:r>
    </w:p>
    <w:p>
      <w:pPr>
        <w:jc w:val="left"/>
      </w:pPr>
      <w:r>
        <w:t>Alle Redline-Versionen werden im Kanzlei-DMS (Anwalts-Software) unter AZ MR-2026-DR-0717 archiviert: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Dateiname (DMS)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Draft 1 (Roosendaal)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SPA_v1_RBP_20260418.docx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Markup v1 (Gegenseite)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SPA_v1_SSS_Markup_20260714.docx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Draft 2 (Roosendaal)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SPA_v2_RBP_20260808.docx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08.08.2026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Markup v2 (Gegenseite)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SPA_v2_SSS_Markup_20260908.docx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08.09.2026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Draft 3 (Roosendaal)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SPA_v3_RBP_20260925.docx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25.09.2026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Draft 4 / Final (Roosendaal)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SPA_v4_RBP_20261010.docx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10.10.2026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